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BEBA5" w14:textId="77777777" w:rsidR="007F7CAA" w:rsidRPr="00380E0D" w:rsidRDefault="007F7CAA" w:rsidP="007F7CAA">
      <w:pPr>
        <w:rPr>
          <w:i/>
          <w:iCs/>
          <w:sz w:val="24"/>
          <w:szCs w:val="24"/>
        </w:rPr>
      </w:pPr>
      <w:r w:rsidRPr="00380E0D">
        <w:rPr>
          <w:i/>
          <w:iCs/>
          <w:sz w:val="24"/>
          <w:szCs w:val="24"/>
        </w:rPr>
        <w:t>Case No:</w:t>
      </w:r>
    </w:p>
    <w:p w14:paraId="30EBC6B9" w14:textId="77777777" w:rsidR="007F7CAA" w:rsidRPr="00380E0D" w:rsidRDefault="007F7CAA" w:rsidP="007F7CAA">
      <w:pPr>
        <w:rPr>
          <w:i/>
          <w:iCs/>
          <w:sz w:val="24"/>
          <w:szCs w:val="24"/>
        </w:rPr>
      </w:pPr>
      <w:r w:rsidRPr="00380E0D">
        <w:rPr>
          <w:i/>
          <w:iCs/>
          <w:sz w:val="24"/>
          <w:szCs w:val="24"/>
        </w:rPr>
        <w:t>UKSC 2024/0042</w:t>
      </w:r>
    </w:p>
    <w:p w14:paraId="6033805F" w14:textId="77777777" w:rsidR="007F7CAA" w:rsidRPr="00380E0D" w:rsidRDefault="007F7CAA" w:rsidP="007F7CAA">
      <w:pPr>
        <w:jc w:val="center"/>
        <w:rPr>
          <w:i/>
          <w:iCs/>
          <w:sz w:val="24"/>
          <w:szCs w:val="24"/>
        </w:rPr>
      </w:pPr>
      <w:r w:rsidRPr="00380E0D">
        <w:rPr>
          <w:i/>
          <w:iCs/>
          <w:sz w:val="24"/>
          <w:szCs w:val="24"/>
        </w:rPr>
        <w:t>IN THE SUPREME COURT OF THE UNITED KINGDOM</w:t>
      </w:r>
    </w:p>
    <w:p w14:paraId="4E9BCF00" w14:textId="77777777" w:rsidR="007F7CAA" w:rsidRPr="00380E0D" w:rsidRDefault="007F7CAA" w:rsidP="007F7CAA">
      <w:pPr>
        <w:rPr>
          <w:i/>
          <w:iCs/>
          <w:sz w:val="24"/>
          <w:szCs w:val="24"/>
        </w:rPr>
      </w:pPr>
    </w:p>
    <w:p w14:paraId="32D09C32" w14:textId="7878D54C" w:rsidR="007F7CAA" w:rsidRPr="00380E0D" w:rsidRDefault="007F7CAA" w:rsidP="007F7CAA">
      <w:pPr>
        <w:rPr>
          <w:i/>
          <w:iCs/>
          <w:sz w:val="24"/>
          <w:szCs w:val="24"/>
        </w:rPr>
      </w:pPr>
      <w:r w:rsidRPr="00380E0D">
        <w:rPr>
          <w:i/>
          <w:iCs/>
          <w:sz w:val="24"/>
          <w:szCs w:val="24"/>
        </w:rPr>
        <w:t>ON APPEAL FROM</w:t>
      </w:r>
    </w:p>
    <w:p w14:paraId="0C461AA5" w14:textId="77777777" w:rsidR="007F7CAA" w:rsidRPr="00380E0D" w:rsidRDefault="007F7CAA" w:rsidP="007F7CAA">
      <w:pPr>
        <w:rPr>
          <w:i/>
          <w:iCs/>
          <w:sz w:val="24"/>
          <w:szCs w:val="24"/>
        </w:rPr>
      </w:pPr>
    </w:p>
    <w:p w14:paraId="08050249" w14:textId="21A684EC" w:rsidR="007F7CAA" w:rsidRPr="00380E0D" w:rsidRDefault="007F7CAA" w:rsidP="007F7CAA">
      <w:pPr>
        <w:rPr>
          <w:i/>
          <w:iCs/>
          <w:sz w:val="24"/>
          <w:szCs w:val="24"/>
        </w:rPr>
      </w:pPr>
      <w:r w:rsidRPr="00380E0D">
        <w:rPr>
          <w:i/>
          <w:iCs/>
          <w:sz w:val="24"/>
          <w:szCs w:val="24"/>
        </w:rPr>
        <w:t>THE SECOND DIVISION OF THE COURT OF SESSION</w:t>
      </w:r>
    </w:p>
    <w:p w14:paraId="0B0AC531" w14:textId="77777777" w:rsidR="007F7CAA" w:rsidRPr="00380E0D" w:rsidRDefault="007F7CAA" w:rsidP="007F7CAA">
      <w:pPr>
        <w:rPr>
          <w:i/>
          <w:iCs/>
          <w:sz w:val="24"/>
          <w:szCs w:val="24"/>
        </w:rPr>
      </w:pPr>
    </w:p>
    <w:p w14:paraId="43354F02" w14:textId="4A611FB8" w:rsidR="007F7CAA" w:rsidRPr="00380E0D" w:rsidRDefault="007F7CAA" w:rsidP="007F7CAA">
      <w:pPr>
        <w:rPr>
          <w:i/>
          <w:iCs/>
          <w:sz w:val="24"/>
          <w:szCs w:val="24"/>
        </w:rPr>
      </w:pPr>
      <w:r w:rsidRPr="00380E0D">
        <w:rPr>
          <w:i/>
          <w:iCs/>
          <w:sz w:val="24"/>
          <w:szCs w:val="24"/>
        </w:rPr>
        <w:t>in the Petition of</w:t>
      </w:r>
    </w:p>
    <w:p w14:paraId="046E66E7" w14:textId="77777777" w:rsidR="007F7CAA" w:rsidRPr="00380E0D" w:rsidRDefault="007F7CAA" w:rsidP="007F7CAA">
      <w:pPr>
        <w:rPr>
          <w:i/>
          <w:iCs/>
          <w:sz w:val="24"/>
          <w:szCs w:val="24"/>
        </w:rPr>
      </w:pPr>
    </w:p>
    <w:p w14:paraId="6F24EB2C" w14:textId="373B9921" w:rsidR="007F7CAA" w:rsidRPr="00380E0D" w:rsidRDefault="007F7CAA" w:rsidP="007F7CAA">
      <w:pPr>
        <w:rPr>
          <w:i/>
          <w:iCs/>
          <w:sz w:val="24"/>
          <w:szCs w:val="24"/>
        </w:rPr>
      </w:pPr>
      <w:r w:rsidRPr="00380E0D">
        <w:rPr>
          <w:i/>
          <w:iCs/>
          <w:sz w:val="24"/>
          <w:szCs w:val="24"/>
        </w:rPr>
        <w:t>FOR WOMEN SCOTLAND LIMITED</w:t>
      </w:r>
    </w:p>
    <w:p w14:paraId="146E9879" w14:textId="77777777" w:rsidR="007F7CAA" w:rsidRPr="00380E0D" w:rsidRDefault="007F7CAA" w:rsidP="007F7CAA">
      <w:pPr>
        <w:rPr>
          <w:i/>
          <w:iCs/>
          <w:sz w:val="24"/>
          <w:szCs w:val="24"/>
        </w:rPr>
      </w:pPr>
    </w:p>
    <w:p w14:paraId="765EE2F4" w14:textId="1A6E4C37" w:rsidR="007F7CAA" w:rsidRPr="00380E0D" w:rsidRDefault="007F7CAA" w:rsidP="007F7CAA">
      <w:pPr>
        <w:jc w:val="right"/>
        <w:rPr>
          <w:b/>
          <w:bCs/>
          <w:i/>
          <w:iCs/>
          <w:sz w:val="24"/>
          <w:szCs w:val="24"/>
          <w:u w:val="single"/>
        </w:rPr>
      </w:pPr>
      <w:r w:rsidRPr="00380E0D">
        <w:rPr>
          <w:b/>
          <w:bCs/>
          <w:i/>
          <w:iCs/>
          <w:sz w:val="24"/>
          <w:szCs w:val="24"/>
          <w:u w:val="single"/>
        </w:rPr>
        <w:t>PETITIONER AND APPELLANT</w:t>
      </w:r>
    </w:p>
    <w:p w14:paraId="0B6BD0B7" w14:textId="77777777" w:rsidR="006630FC" w:rsidRPr="00380E0D" w:rsidRDefault="006630FC" w:rsidP="006630FC">
      <w:pPr>
        <w:rPr>
          <w:b/>
          <w:bCs/>
          <w:i/>
          <w:iCs/>
          <w:sz w:val="24"/>
          <w:szCs w:val="24"/>
          <w:u w:val="single"/>
        </w:rPr>
      </w:pPr>
    </w:p>
    <w:p w14:paraId="2F5CF72F" w14:textId="3635FA2E" w:rsidR="00517AFE" w:rsidRDefault="00517AFE" w:rsidP="00517AFE">
      <w:pPr>
        <w:rPr>
          <w:i/>
          <w:iCs/>
          <w:sz w:val="24"/>
          <w:szCs w:val="24"/>
        </w:rPr>
      </w:pPr>
      <w:r>
        <w:rPr>
          <w:i/>
          <w:iCs/>
          <w:sz w:val="24"/>
          <w:szCs w:val="24"/>
        </w:rPr>
        <w:t xml:space="preserve">(1) </w:t>
      </w:r>
      <w:r w:rsidR="008155E8" w:rsidRPr="00517AFE">
        <w:rPr>
          <w:i/>
          <w:iCs/>
          <w:sz w:val="24"/>
          <w:szCs w:val="24"/>
        </w:rPr>
        <w:t>SEX MATTERS</w:t>
      </w:r>
      <w:r w:rsidRPr="00517AFE">
        <w:rPr>
          <w:i/>
          <w:iCs/>
          <w:sz w:val="24"/>
          <w:szCs w:val="24"/>
        </w:rPr>
        <w:t xml:space="preserve"> </w:t>
      </w:r>
    </w:p>
    <w:p w14:paraId="07314EC8" w14:textId="4BF74B1D" w:rsidR="00517AFE" w:rsidRDefault="00517AFE" w:rsidP="00517AFE">
      <w:pPr>
        <w:rPr>
          <w:i/>
          <w:iCs/>
          <w:sz w:val="24"/>
          <w:szCs w:val="24"/>
        </w:rPr>
      </w:pPr>
      <w:r>
        <w:rPr>
          <w:i/>
          <w:iCs/>
          <w:sz w:val="24"/>
          <w:szCs w:val="24"/>
        </w:rPr>
        <w:t>(</w:t>
      </w:r>
      <w:r w:rsidR="008155E8">
        <w:rPr>
          <w:i/>
          <w:iCs/>
          <w:sz w:val="24"/>
          <w:szCs w:val="24"/>
        </w:rPr>
        <w:t>2</w:t>
      </w:r>
      <w:r>
        <w:rPr>
          <w:i/>
          <w:iCs/>
          <w:sz w:val="24"/>
          <w:szCs w:val="24"/>
        </w:rPr>
        <w:t xml:space="preserve">) </w:t>
      </w:r>
      <w:r w:rsidRPr="00517AFE">
        <w:rPr>
          <w:i/>
          <w:iCs/>
          <w:sz w:val="24"/>
          <w:szCs w:val="24"/>
        </w:rPr>
        <w:t>SCOTTISH LESBIANS</w:t>
      </w:r>
      <w:r>
        <w:rPr>
          <w:i/>
          <w:iCs/>
          <w:sz w:val="24"/>
          <w:szCs w:val="24"/>
        </w:rPr>
        <w:t xml:space="preserve">, </w:t>
      </w:r>
      <w:r w:rsidRPr="00517AFE">
        <w:rPr>
          <w:i/>
          <w:iCs/>
          <w:sz w:val="24"/>
          <w:szCs w:val="24"/>
        </w:rPr>
        <w:t>THE LESBIAN PROJECT</w:t>
      </w:r>
      <w:r>
        <w:rPr>
          <w:i/>
          <w:iCs/>
          <w:sz w:val="24"/>
          <w:szCs w:val="24"/>
        </w:rPr>
        <w:t xml:space="preserve"> </w:t>
      </w:r>
      <w:proofErr w:type="gramStart"/>
      <w:r>
        <w:rPr>
          <w:i/>
          <w:iCs/>
          <w:sz w:val="24"/>
          <w:szCs w:val="24"/>
        </w:rPr>
        <w:t xml:space="preserve">and </w:t>
      </w:r>
      <w:r w:rsidRPr="00517AFE">
        <w:rPr>
          <w:i/>
          <w:iCs/>
          <w:sz w:val="24"/>
          <w:szCs w:val="24"/>
        </w:rPr>
        <w:t xml:space="preserve"> LGB</w:t>
      </w:r>
      <w:proofErr w:type="gramEnd"/>
      <w:r w:rsidRPr="00517AFE">
        <w:rPr>
          <w:i/>
          <w:iCs/>
          <w:sz w:val="24"/>
          <w:szCs w:val="24"/>
        </w:rPr>
        <w:t xml:space="preserve"> ALLIANCE</w:t>
      </w:r>
    </w:p>
    <w:p w14:paraId="69098095" w14:textId="0B772D87" w:rsidR="008155E8" w:rsidRDefault="00517AFE" w:rsidP="008155E8">
      <w:pPr>
        <w:rPr>
          <w:i/>
          <w:iCs/>
          <w:sz w:val="24"/>
          <w:szCs w:val="24"/>
        </w:rPr>
      </w:pPr>
      <w:r>
        <w:rPr>
          <w:i/>
          <w:iCs/>
          <w:sz w:val="24"/>
          <w:szCs w:val="24"/>
        </w:rPr>
        <w:t>(</w:t>
      </w:r>
      <w:r w:rsidR="006571E9">
        <w:rPr>
          <w:i/>
          <w:iCs/>
          <w:sz w:val="24"/>
          <w:szCs w:val="24"/>
        </w:rPr>
        <w:t>3</w:t>
      </w:r>
      <w:r>
        <w:rPr>
          <w:i/>
          <w:iCs/>
          <w:sz w:val="24"/>
          <w:szCs w:val="24"/>
        </w:rPr>
        <w:t xml:space="preserve">) </w:t>
      </w:r>
      <w:r w:rsidR="008155E8" w:rsidRPr="00517AFE">
        <w:rPr>
          <w:i/>
          <w:iCs/>
          <w:sz w:val="24"/>
          <w:szCs w:val="24"/>
        </w:rPr>
        <w:t>COMMISSION FOR EQUALITY AND HUMAN RIGHTS</w:t>
      </w:r>
      <w:r w:rsidR="008155E8" w:rsidRPr="00517AFE" w:rsidDel="00517AFE">
        <w:rPr>
          <w:i/>
          <w:iCs/>
          <w:sz w:val="24"/>
          <w:szCs w:val="24"/>
          <w:highlight w:val="yellow"/>
        </w:rPr>
        <w:t xml:space="preserve"> </w:t>
      </w:r>
    </w:p>
    <w:p w14:paraId="45227837" w14:textId="6905AD2F" w:rsidR="00517AFE" w:rsidRPr="00380E0D" w:rsidRDefault="008155E8" w:rsidP="008155E8">
      <w:pPr>
        <w:rPr>
          <w:i/>
          <w:iCs/>
          <w:sz w:val="24"/>
          <w:szCs w:val="24"/>
        </w:rPr>
      </w:pPr>
      <w:r>
        <w:rPr>
          <w:i/>
          <w:iCs/>
          <w:sz w:val="24"/>
          <w:szCs w:val="24"/>
        </w:rPr>
        <w:t>(</w:t>
      </w:r>
      <w:r w:rsidR="006571E9">
        <w:rPr>
          <w:i/>
          <w:iCs/>
          <w:sz w:val="24"/>
          <w:szCs w:val="24"/>
        </w:rPr>
        <w:t>4</w:t>
      </w:r>
      <w:r>
        <w:rPr>
          <w:i/>
          <w:iCs/>
          <w:sz w:val="24"/>
          <w:szCs w:val="24"/>
        </w:rPr>
        <w:t xml:space="preserve">) </w:t>
      </w:r>
      <w:r w:rsidRPr="00517AFE">
        <w:rPr>
          <w:i/>
          <w:iCs/>
          <w:sz w:val="24"/>
          <w:szCs w:val="24"/>
        </w:rPr>
        <w:t>AMNESTY INTERNATIONAL UK</w:t>
      </w:r>
    </w:p>
    <w:p w14:paraId="2E0AF660" w14:textId="02344C8A" w:rsidR="006630FC" w:rsidRPr="00380E0D" w:rsidRDefault="006630FC" w:rsidP="007F7CAA">
      <w:pPr>
        <w:jc w:val="right"/>
        <w:rPr>
          <w:b/>
          <w:bCs/>
          <w:i/>
          <w:iCs/>
          <w:sz w:val="24"/>
          <w:szCs w:val="24"/>
          <w:u w:val="single"/>
        </w:rPr>
      </w:pPr>
      <w:r w:rsidRPr="00380E0D">
        <w:rPr>
          <w:b/>
          <w:bCs/>
          <w:i/>
          <w:iCs/>
          <w:sz w:val="24"/>
          <w:szCs w:val="24"/>
          <w:u w:val="single"/>
        </w:rPr>
        <w:t>INTERVENERS</w:t>
      </w:r>
    </w:p>
    <w:p w14:paraId="12405D57" w14:textId="77777777" w:rsidR="007F7CAA" w:rsidRPr="00380E0D" w:rsidRDefault="007F7CAA" w:rsidP="007F7CAA">
      <w:pPr>
        <w:rPr>
          <w:i/>
          <w:iCs/>
          <w:sz w:val="24"/>
          <w:szCs w:val="24"/>
        </w:rPr>
      </w:pPr>
    </w:p>
    <w:p w14:paraId="3135A11A" w14:textId="69A24BBC" w:rsidR="007F7CAA" w:rsidRPr="00380E0D" w:rsidRDefault="007F7CAA" w:rsidP="007F7CAA">
      <w:pPr>
        <w:rPr>
          <w:i/>
          <w:iCs/>
          <w:sz w:val="24"/>
          <w:szCs w:val="24"/>
        </w:rPr>
      </w:pPr>
      <w:r w:rsidRPr="00380E0D">
        <w:rPr>
          <w:i/>
          <w:iCs/>
          <w:sz w:val="24"/>
          <w:szCs w:val="24"/>
        </w:rPr>
        <w:t>for Judicial Review of the revised statutory guidance produced by the Scottish Ministers under Section 7 of the Gender Representation on Public Boards (Scotland) Act 2018</w:t>
      </w:r>
    </w:p>
    <w:p w14:paraId="044A470B" w14:textId="77777777" w:rsidR="007F7CAA" w:rsidRPr="00380E0D" w:rsidRDefault="007F7CAA" w:rsidP="007F7CAA">
      <w:pPr>
        <w:pBdr>
          <w:bottom w:val="single" w:sz="12" w:space="1" w:color="auto"/>
        </w:pBdr>
        <w:rPr>
          <w:i/>
          <w:iCs/>
          <w:sz w:val="24"/>
          <w:szCs w:val="24"/>
        </w:rPr>
      </w:pPr>
    </w:p>
    <w:p w14:paraId="7C3A2C04" w14:textId="77777777" w:rsidR="007F7CAA" w:rsidRPr="00380E0D" w:rsidRDefault="007F7CAA" w:rsidP="007F7CAA">
      <w:pPr>
        <w:rPr>
          <w:i/>
          <w:iCs/>
          <w:sz w:val="24"/>
          <w:szCs w:val="24"/>
        </w:rPr>
      </w:pPr>
    </w:p>
    <w:p w14:paraId="0223B457" w14:textId="7ADB87F7" w:rsidR="007F7CAA" w:rsidRPr="00380E0D" w:rsidRDefault="007F7CAA" w:rsidP="007F7CAA">
      <w:pPr>
        <w:pBdr>
          <w:bottom w:val="single" w:sz="12" w:space="1" w:color="auto"/>
        </w:pBdr>
        <w:jc w:val="center"/>
        <w:rPr>
          <w:i/>
          <w:iCs/>
          <w:sz w:val="24"/>
          <w:szCs w:val="24"/>
        </w:rPr>
      </w:pPr>
      <w:r w:rsidRPr="00380E0D">
        <w:rPr>
          <w:i/>
          <w:iCs/>
          <w:sz w:val="24"/>
          <w:szCs w:val="24"/>
        </w:rPr>
        <w:t xml:space="preserve">WRITTEN </w:t>
      </w:r>
      <w:r w:rsidR="004867AD" w:rsidRPr="00380E0D">
        <w:rPr>
          <w:i/>
          <w:iCs/>
          <w:sz w:val="24"/>
          <w:szCs w:val="24"/>
        </w:rPr>
        <w:t>SUBMISSIONS FOR THE COMMISSION FOR EQUALITY AND HUMAN RIGHTS</w:t>
      </w:r>
    </w:p>
    <w:p w14:paraId="32FEA7DB" w14:textId="77777777" w:rsidR="007F7CAA" w:rsidRPr="00380E0D" w:rsidRDefault="007F7CAA" w:rsidP="007F7CAA">
      <w:pPr>
        <w:pBdr>
          <w:bottom w:val="single" w:sz="12" w:space="1" w:color="auto"/>
        </w:pBdr>
        <w:rPr>
          <w:i/>
          <w:iCs/>
          <w:sz w:val="24"/>
          <w:szCs w:val="24"/>
        </w:rPr>
      </w:pPr>
    </w:p>
    <w:p w14:paraId="3A195A91" w14:textId="77777777" w:rsidR="00A15CC3" w:rsidRPr="00380E0D" w:rsidRDefault="007F7CAA" w:rsidP="007F7CAA">
      <w:pPr>
        <w:rPr>
          <w:i/>
          <w:iCs/>
          <w:sz w:val="24"/>
          <w:szCs w:val="24"/>
        </w:rPr>
        <w:sectPr w:rsidR="00A15CC3" w:rsidRPr="00380E0D" w:rsidSect="003606C0">
          <w:headerReference w:type="default" r:id="rId8"/>
          <w:footerReference w:type="even" r:id="rId9"/>
          <w:footerReference w:type="default" r:id="rId10"/>
          <w:pgSz w:w="11906" w:h="16838"/>
          <w:pgMar w:top="1440" w:right="1440" w:bottom="1440" w:left="1440" w:header="708" w:footer="708" w:gutter="0"/>
          <w:cols w:space="708"/>
          <w:titlePg/>
          <w:docGrid w:linePitch="360"/>
        </w:sectPr>
      </w:pPr>
      <w:r w:rsidRPr="00380E0D">
        <w:rPr>
          <w:i/>
          <w:iCs/>
          <w:sz w:val="24"/>
          <w:szCs w:val="24"/>
        </w:rPr>
        <w:br w:type="page"/>
      </w:r>
    </w:p>
    <w:p w14:paraId="553B19B2" w14:textId="707B7C0A" w:rsidR="007F7CAA" w:rsidRPr="00380E0D" w:rsidRDefault="007F7CAA" w:rsidP="007F7CAA">
      <w:pPr>
        <w:rPr>
          <w:i/>
          <w:iCs/>
          <w:sz w:val="24"/>
          <w:szCs w:val="24"/>
        </w:rPr>
      </w:pPr>
    </w:p>
    <w:p w14:paraId="18298561" w14:textId="2EAF9F90" w:rsidR="00A1095D" w:rsidRPr="00536BFF" w:rsidRDefault="00686B3A" w:rsidP="003706F3">
      <w:pPr>
        <w:spacing w:line="360" w:lineRule="auto"/>
        <w:ind w:left="360"/>
        <w:jc w:val="both"/>
        <w:rPr>
          <w:i/>
          <w:iCs/>
          <w:sz w:val="24"/>
          <w:szCs w:val="24"/>
        </w:rPr>
      </w:pPr>
      <w:r w:rsidRPr="00536BFF">
        <w:rPr>
          <w:i/>
          <w:iCs/>
          <w:sz w:val="24"/>
          <w:szCs w:val="24"/>
        </w:rPr>
        <w:t xml:space="preserve">References in the form [AC/§**] and in the form [RC/§**] are references to paragraphs in the Appellant’s and Respondent’s written case respectively. </w:t>
      </w:r>
      <w:r w:rsidR="00EA46DE" w:rsidRPr="00536BFF">
        <w:rPr>
          <w:i/>
          <w:iCs/>
          <w:sz w:val="24"/>
          <w:szCs w:val="24"/>
        </w:rPr>
        <w:t>[APP] refers to the Appendix to the Appeal.</w:t>
      </w:r>
    </w:p>
    <w:p w14:paraId="52EF79FA" w14:textId="77777777" w:rsidR="00536BFF" w:rsidRPr="00536BFF" w:rsidRDefault="00536BFF" w:rsidP="003706F3">
      <w:pPr>
        <w:spacing w:line="360" w:lineRule="auto"/>
        <w:ind w:left="360"/>
        <w:jc w:val="both"/>
        <w:rPr>
          <w:i/>
          <w:sz w:val="24"/>
          <w:szCs w:val="24"/>
        </w:rPr>
      </w:pPr>
    </w:p>
    <w:p w14:paraId="2EAC66F6" w14:textId="7F0A748B" w:rsidR="007F7CAA" w:rsidRPr="00536BFF" w:rsidRDefault="006630FC" w:rsidP="00410161">
      <w:pPr>
        <w:pStyle w:val="Heading1"/>
        <w:rPr>
          <w:rFonts w:ascii="Garamond" w:hAnsi="Garamond"/>
          <w:sz w:val="24"/>
          <w:szCs w:val="24"/>
        </w:rPr>
      </w:pPr>
      <w:r w:rsidRPr="00536BFF">
        <w:rPr>
          <w:rFonts w:ascii="Garamond" w:hAnsi="Garamond"/>
          <w:sz w:val="24"/>
          <w:szCs w:val="24"/>
        </w:rPr>
        <w:t xml:space="preserve">A: </w:t>
      </w:r>
      <w:r w:rsidRPr="00536BFF">
        <w:rPr>
          <w:rFonts w:ascii="Garamond" w:hAnsi="Garamond"/>
          <w:sz w:val="24"/>
          <w:szCs w:val="24"/>
        </w:rPr>
        <w:tab/>
        <w:t xml:space="preserve">INTRODUCTION </w:t>
      </w:r>
    </w:p>
    <w:p w14:paraId="14F86F36" w14:textId="47687FC0" w:rsidR="00DD3D37" w:rsidRPr="00380E0D" w:rsidRDefault="00DD3D37" w:rsidP="00C34C1B">
      <w:pPr>
        <w:pStyle w:val="ListParagraph"/>
        <w:numPr>
          <w:ilvl w:val="0"/>
          <w:numId w:val="1"/>
        </w:numPr>
        <w:spacing w:line="360" w:lineRule="auto"/>
        <w:jc w:val="both"/>
        <w:rPr>
          <w:sz w:val="24"/>
          <w:szCs w:val="24"/>
        </w:rPr>
      </w:pPr>
      <w:r w:rsidRPr="00536BFF">
        <w:rPr>
          <w:sz w:val="24"/>
          <w:szCs w:val="24"/>
        </w:rPr>
        <w:t>By order of 7 October 2024</w:t>
      </w:r>
      <w:r w:rsidR="009E1873" w:rsidRPr="00536BFF">
        <w:rPr>
          <w:sz w:val="24"/>
          <w:szCs w:val="24"/>
        </w:rPr>
        <w:t>,</w:t>
      </w:r>
      <w:r w:rsidR="00A252A9" w:rsidRPr="00536BFF">
        <w:rPr>
          <w:sz w:val="24"/>
          <w:szCs w:val="24"/>
        </w:rPr>
        <w:t xml:space="preserve"> the Commission for Equality and Human Rights, more commonly known as the Equality and Human Rights Commission (“</w:t>
      </w:r>
      <w:r w:rsidR="00A252A9" w:rsidRPr="00536BFF">
        <w:rPr>
          <w:b/>
          <w:bCs/>
          <w:sz w:val="24"/>
          <w:szCs w:val="24"/>
        </w:rPr>
        <w:t>the Commission</w:t>
      </w:r>
      <w:proofErr w:type="gramStart"/>
      <w:r w:rsidR="00A252A9" w:rsidRPr="00536BFF">
        <w:rPr>
          <w:sz w:val="24"/>
          <w:szCs w:val="24"/>
        </w:rPr>
        <w:t xml:space="preserve">”) </w:t>
      </w:r>
      <w:r w:rsidRPr="00536BFF">
        <w:rPr>
          <w:sz w:val="24"/>
          <w:szCs w:val="24"/>
        </w:rPr>
        <w:t xml:space="preserve"> was</w:t>
      </w:r>
      <w:proofErr w:type="gramEnd"/>
      <w:r w:rsidRPr="00536BFF">
        <w:rPr>
          <w:sz w:val="24"/>
          <w:szCs w:val="24"/>
        </w:rPr>
        <w:t xml:space="preserve"> granted permission to </w:t>
      </w:r>
      <w:r w:rsidR="0010616A" w:rsidRPr="00536BFF">
        <w:rPr>
          <w:sz w:val="24"/>
          <w:szCs w:val="24"/>
        </w:rPr>
        <w:t>intervene</w:t>
      </w:r>
      <w:r w:rsidR="0010616A" w:rsidRPr="00380E0D">
        <w:rPr>
          <w:sz w:val="24"/>
          <w:szCs w:val="24"/>
        </w:rPr>
        <w:t xml:space="preserve"> by way of written</w:t>
      </w:r>
      <w:r w:rsidR="00380228" w:rsidRPr="00380E0D">
        <w:rPr>
          <w:sz w:val="24"/>
          <w:szCs w:val="24"/>
        </w:rPr>
        <w:t xml:space="preserve"> (20 pages)</w:t>
      </w:r>
      <w:r w:rsidR="00B56167" w:rsidRPr="00380E0D">
        <w:rPr>
          <w:sz w:val="24"/>
          <w:szCs w:val="24"/>
        </w:rPr>
        <w:t xml:space="preserve"> </w:t>
      </w:r>
      <w:r w:rsidR="0010616A" w:rsidRPr="00380E0D">
        <w:rPr>
          <w:sz w:val="24"/>
          <w:szCs w:val="24"/>
        </w:rPr>
        <w:t>and oral submissions</w:t>
      </w:r>
      <w:r w:rsidR="00380228" w:rsidRPr="00380E0D">
        <w:rPr>
          <w:sz w:val="24"/>
          <w:szCs w:val="24"/>
        </w:rPr>
        <w:t xml:space="preserve"> (one hour)</w:t>
      </w:r>
      <w:r w:rsidR="0010616A" w:rsidRPr="00380E0D">
        <w:rPr>
          <w:sz w:val="24"/>
          <w:szCs w:val="24"/>
        </w:rPr>
        <w:t>.</w:t>
      </w:r>
      <w:r w:rsidR="006359AC" w:rsidRPr="00380E0D">
        <w:rPr>
          <w:sz w:val="24"/>
          <w:szCs w:val="24"/>
        </w:rPr>
        <w:t xml:space="preserve"> </w:t>
      </w:r>
    </w:p>
    <w:p w14:paraId="4CAB7960" w14:textId="77777777" w:rsidR="00DD3D37" w:rsidRPr="00536BFF" w:rsidRDefault="00DD3D37" w:rsidP="00DD3D37">
      <w:pPr>
        <w:spacing w:line="360" w:lineRule="auto"/>
        <w:ind w:left="360"/>
        <w:jc w:val="both"/>
        <w:rPr>
          <w:sz w:val="16"/>
          <w:szCs w:val="16"/>
        </w:rPr>
      </w:pPr>
    </w:p>
    <w:p w14:paraId="277AE9B4" w14:textId="6DB7374C" w:rsidR="000B6D75" w:rsidRPr="00380E0D" w:rsidRDefault="009E1873" w:rsidP="00C34C1B">
      <w:pPr>
        <w:pStyle w:val="ListParagraph"/>
        <w:numPr>
          <w:ilvl w:val="0"/>
          <w:numId w:val="1"/>
        </w:numPr>
        <w:spacing w:line="360" w:lineRule="auto"/>
        <w:jc w:val="both"/>
        <w:rPr>
          <w:sz w:val="24"/>
          <w:szCs w:val="24"/>
        </w:rPr>
      </w:pPr>
      <w:r w:rsidRPr="00380E0D">
        <w:rPr>
          <w:sz w:val="24"/>
          <w:szCs w:val="24"/>
        </w:rPr>
        <w:t xml:space="preserve">The central issue raised by the appeal is whether </w:t>
      </w:r>
      <w:r w:rsidR="00D609DD" w:rsidRPr="00380E0D">
        <w:rPr>
          <w:sz w:val="24"/>
          <w:szCs w:val="24"/>
        </w:rPr>
        <w:t>“</w:t>
      </w:r>
      <w:r w:rsidR="00D609DD" w:rsidRPr="00380E0D">
        <w:rPr>
          <w:i/>
          <w:iCs/>
          <w:sz w:val="24"/>
          <w:szCs w:val="24"/>
        </w:rPr>
        <w:t>sex</w:t>
      </w:r>
      <w:r w:rsidR="00D609DD" w:rsidRPr="00380E0D">
        <w:rPr>
          <w:sz w:val="24"/>
          <w:szCs w:val="24"/>
        </w:rPr>
        <w:t>” and “</w:t>
      </w:r>
      <w:r w:rsidR="00D609DD" w:rsidRPr="00380E0D">
        <w:rPr>
          <w:i/>
          <w:iCs/>
          <w:sz w:val="24"/>
          <w:szCs w:val="24"/>
        </w:rPr>
        <w:t>man</w:t>
      </w:r>
      <w:r w:rsidR="00D609DD" w:rsidRPr="00380E0D">
        <w:rPr>
          <w:sz w:val="24"/>
          <w:szCs w:val="24"/>
        </w:rPr>
        <w:t>” and “</w:t>
      </w:r>
      <w:r w:rsidR="00D609DD" w:rsidRPr="00380E0D">
        <w:rPr>
          <w:i/>
          <w:iCs/>
          <w:sz w:val="24"/>
          <w:szCs w:val="24"/>
        </w:rPr>
        <w:t>woman</w:t>
      </w:r>
      <w:r w:rsidR="00D609DD" w:rsidRPr="00380E0D">
        <w:rPr>
          <w:sz w:val="24"/>
          <w:szCs w:val="24"/>
        </w:rPr>
        <w:t xml:space="preserve">” </w:t>
      </w:r>
      <w:r w:rsidR="00BD0F6B" w:rsidRPr="00380E0D">
        <w:rPr>
          <w:sz w:val="24"/>
          <w:szCs w:val="24"/>
        </w:rPr>
        <w:t xml:space="preserve">in the </w:t>
      </w:r>
      <w:r w:rsidR="00C83B01" w:rsidRPr="00380E0D">
        <w:rPr>
          <w:sz w:val="24"/>
          <w:szCs w:val="24"/>
        </w:rPr>
        <w:t>Equality Act 2010 (“</w:t>
      </w:r>
      <w:proofErr w:type="spellStart"/>
      <w:r w:rsidR="00BD0F6B" w:rsidRPr="00380E0D">
        <w:rPr>
          <w:b/>
          <w:bCs/>
          <w:sz w:val="24"/>
          <w:szCs w:val="24"/>
        </w:rPr>
        <w:t>EqA</w:t>
      </w:r>
      <w:proofErr w:type="spellEnd"/>
      <w:r w:rsidR="00C83B01" w:rsidRPr="00380E0D">
        <w:rPr>
          <w:sz w:val="24"/>
          <w:szCs w:val="24"/>
        </w:rPr>
        <w:t>”)</w:t>
      </w:r>
      <w:r w:rsidR="00BD0F6B" w:rsidRPr="00380E0D">
        <w:rPr>
          <w:sz w:val="24"/>
          <w:szCs w:val="24"/>
        </w:rPr>
        <w:t xml:space="preserve"> </w:t>
      </w:r>
      <w:r w:rsidRPr="00380E0D">
        <w:rPr>
          <w:sz w:val="24"/>
          <w:szCs w:val="24"/>
        </w:rPr>
        <w:t xml:space="preserve">refer only to </w:t>
      </w:r>
      <w:r w:rsidR="00D609DD" w:rsidRPr="00380E0D">
        <w:rPr>
          <w:sz w:val="24"/>
          <w:szCs w:val="24"/>
        </w:rPr>
        <w:t>the sex of a person</w:t>
      </w:r>
      <w:r w:rsidR="005E51A1" w:rsidRPr="00380E0D">
        <w:rPr>
          <w:sz w:val="24"/>
          <w:szCs w:val="24"/>
        </w:rPr>
        <w:t xml:space="preserve"> “</w:t>
      </w:r>
      <w:r w:rsidR="005E51A1" w:rsidRPr="00380E0D">
        <w:rPr>
          <w:i/>
          <w:iCs/>
          <w:sz w:val="24"/>
          <w:szCs w:val="24"/>
        </w:rPr>
        <w:t>in fact</w:t>
      </w:r>
      <w:r w:rsidR="005E51A1" w:rsidRPr="00380E0D">
        <w:rPr>
          <w:sz w:val="24"/>
          <w:szCs w:val="24"/>
        </w:rPr>
        <w:t>”</w:t>
      </w:r>
      <w:r w:rsidR="00D609DD" w:rsidRPr="00380E0D">
        <w:rPr>
          <w:sz w:val="24"/>
          <w:szCs w:val="24"/>
        </w:rPr>
        <w:t xml:space="preserve"> as assessed and determined at birth </w:t>
      </w:r>
      <w:r w:rsidR="00601930" w:rsidRPr="00380E0D">
        <w:rPr>
          <w:sz w:val="24"/>
          <w:szCs w:val="24"/>
        </w:rPr>
        <w:t xml:space="preserve">based on biological </w:t>
      </w:r>
      <w:r w:rsidR="005E51A1" w:rsidRPr="00380E0D">
        <w:rPr>
          <w:sz w:val="24"/>
          <w:szCs w:val="24"/>
        </w:rPr>
        <w:t xml:space="preserve">traits </w:t>
      </w:r>
      <w:r w:rsidR="00D609DD" w:rsidRPr="00380E0D">
        <w:rPr>
          <w:sz w:val="24"/>
          <w:szCs w:val="24"/>
        </w:rPr>
        <w:t>and then recorded on a birth certificate</w:t>
      </w:r>
      <w:r w:rsidR="00913341" w:rsidRPr="00380E0D">
        <w:rPr>
          <w:sz w:val="24"/>
          <w:szCs w:val="24"/>
        </w:rPr>
        <w:t xml:space="preserve"> (“</w:t>
      </w:r>
      <w:r w:rsidR="00913341" w:rsidRPr="00380E0D">
        <w:rPr>
          <w:b/>
          <w:bCs/>
          <w:sz w:val="24"/>
          <w:szCs w:val="24"/>
        </w:rPr>
        <w:t>the first definition</w:t>
      </w:r>
      <w:r w:rsidR="00913341" w:rsidRPr="00380E0D">
        <w:rPr>
          <w:sz w:val="24"/>
          <w:szCs w:val="24"/>
        </w:rPr>
        <w:t>”</w:t>
      </w:r>
      <w:r w:rsidR="007C081F" w:rsidRPr="00380E0D">
        <w:rPr>
          <w:sz w:val="24"/>
          <w:szCs w:val="24"/>
        </w:rPr>
        <w:t>, commonly referred to by the shorthand “</w:t>
      </w:r>
      <w:r w:rsidR="007C081F" w:rsidRPr="00380E0D">
        <w:rPr>
          <w:i/>
          <w:iCs/>
          <w:sz w:val="24"/>
          <w:szCs w:val="24"/>
        </w:rPr>
        <w:t>biological sex</w:t>
      </w:r>
      <w:r w:rsidR="007C081F" w:rsidRPr="00380E0D">
        <w:rPr>
          <w:sz w:val="24"/>
          <w:szCs w:val="24"/>
        </w:rPr>
        <w:t>”</w:t>
      </w:r>
      <w:r w:rsidR="002814F9" w:rsidRPr="00380E0D">
        <w:rPr>
          <w:sz w:val="24"/>
          <w:szCs w:val="24"/>
        </w:rPr>
        <w:t xml:space="preserve"> or “</w:t>
      </w:r>
      <w:r w:rsidR="002814F9" w:rsidRPr="00380E0D">
        <w:rPr>
          <w:i/>
          <w:iCs/>
          <w:sz w:val="24"/>
          <w:szCs w:val="24"/>
        </w:rPr>
        <w:t>natal sex</w:t>
      </w:r>
      <w:r w:rsidR="002814F9" w:rsidRPr="00380E0D">
        <w:rPr>
          <w:sz w:val="24"/>
          <w:szCs w:val="24"/>
        </w:rPr>
        <w:t>”</w:t>
      </w:r>
      <w:r w:rsidR="00913341" w:rsidRPr="00380E0D">
        <w:rPr>
          <w:sz w:val="24"/>
          <w:szCs w:val="24"/>
        </w:rPr>
        <w:t>)</w:t>
      </w:r>
      <w:r w:rsidR="00D609DD" w:rsidRPr="00380E0D">
        <w:rPr>
          <w:sz w:val="24"/>
          <w:szCs w:val="24"/>
        </w:rPr>
        <w:t>, or do</w:t>
      </w:r>
      <w:r w:rsidRPr="00380E0D">
        <w:rPr>
          <w:sz w:val="24"/>
          <w:szCs w:val="24"/>
        </w:rPr>
        <w:t xml:space="preserve"> those terms also refer to a person’s </w:t>
      </w:r>
      <w:r w:rsidR="00D609DD" w:rsidRPr="00380E0D">
        <w:rPr>
          <w:sz w:val="24"/>
          <w:szCs w:val="24"/>
        </w:rPr>
        <w:t>“</w:t>
      </w:r>
      <w:r w:rsidR="00D609DD" w:rsidRPr="00380E0D">
        <w:rPr>
          <w:i/>
          <w:iCs/>
          <w:sz w:val="24"/>
          <w:szCs w:val="24"/>
        </w:rPr>
        <w:t>sex</w:t>
      </w:r>
      <w:r w:rsidR="00D609DD" w:rsidRPr="00380E0D">
        <w:rPr>
          <w:sz w:val="24"/>
          <w:szCs w:val="24"/>
        </w:rPr>
        <w:t>” as changed</w:t>
      </w:r>
      <w:r w:rsidRPr="00380E0D">
        <w:rPr>
          <w:sz w:val="24"/>
          <w:szCs w:val="24"/>
        </w:rPr>
        <w:t xml:space="preserve"> in law</w:t>
      </w:r>
      <w:r w:rsidR="00D609DD" w:rsidRPr="00380E0D">
        <w:rPr>
          <w:sz w:val="24"/>
          <w:szCs w:val="24"/>
        </w:rPr>
        <w:t xml:space="preserve"> by dint of an application</w:t>
      </w:r>
      <w:r w:rsidR="00621F2F" w:rsidRPr="00380E0D">
        <w:rPr>
          <w:sz w:val="24"/>
          <w:szCs w:val="24"/>
        </w:rPr>
        <w:t xml:space="preserve"> and issuance of a </w:t>
      </w:r>
      <w:r w:rsidR="006359AC" w:rsidRPr="00380E0D">
        <w:rPr>
          <w:sz w:val="24"/>
          <w:szCs w:val="24"/>
        </w:rPr>
        <w:t xml:space="preserve">gender recognition </w:t>
      </w:r>
      <w:r w:rsidR="00621F2F" w:rsidRPr="00380E0D">
        <w:rPr>
          <w:sz w:val="24"/>
          <w:szCs w:val="24"/>
        </w:rPr>
        <w:t>certificate</w:t>
      </w:r>
      <w:r w:rsidR="006359AC" w:rsidRPr="00380E0D">
        <w:rPr>
          <w:sz w:val="24"/>
          <w:szCs w:val="24"/>
        </w:rPr>
        <w:t xml:space="preserve"> (“</w:t>
      </w:r>
      <w:r w:rsidR="006359AC" w:rsidRPr="00380E0D">
        <w:rPr>
          <w:b/>
          <w:bCs/>
          <w:sz w:val="24"/>
          <w:szCs w:val="24"/>
        </w:rPr>
        <w:t>GRC</w:t>
      </w:r>
      <w:r w:rsidR="006359AC" w:rsidRPr="00380E0D">
        <w:rPr>
          <w:sz w:val="24"/>
          <w:szCs w:val="24"/>
        </w:rPr>
        <w:t>”)</w:t>
      </w:r>
      <w:r w:rsidR="00D609DD" w:rsidRPr="00380E0D">
        <w:rPr>
          <w:sz w:val="24"/>
          <w:szCs w:val="24"/>
        </w:rPr>
        <w:t xml:space="preserve"> under the G</w:t>
      </w:r>
      <w:r w:rsidR="006359AC" w:rsidRPr="00380E0D">
        <w:rPr>
          <w:sz w:val="24"/>
          <w:szCs w:val="24"/>
        </w:rPr>
        <w:t xml:space="preserve">ender </w:t>
      </w:r>
      <w:r w:rsidR="00D609DD" w:rsidRPr="00380E0D">
        <w:rPr>
          <w:sz w:val="24"/>
          <w:szCs w:val="24"/>
        </w:rPr>
        <w:t>R</w:t>
      </w:r>
      <w:r w:rsidR="006359AC" w:rsidRPr="00380E0D">
        <w:rPr>
          <w:sz w:val="24"/>
          <w:szCs w:val="24"/>
        </w:rPr>
        <w:t>ecognition Act 2004 (“</w:t>
      </w:r>
      <w:r w:rsidR="006359AC" w:rsidRPr="00380E0D">
        <w:rPr>
          <w:b/>
          <w:bCs/>
          <w:sz w:val="24"/>
          <w:szCs w:val="24"/>
        </w:rPr>
        <w:t>GRA</w:t>
      </w:r>
      <w:r w:rsidR="006359AC" w:rsidRPr="00380E0D">
        <w:rPr>
          <w:sz w:val="24"/>
          <w:szCs w:val="24"/>
        </w:rPr>
        <w:t>”)</w:t>
      </w:r>
      <w:r w:rsidR="00D609DD" w:rsidRPr="00380E0D">
        <w:rPr>
          <w:sz w:val="24"/>
          <w:szCs w:val="24"/>
        </w:rPr>
        <w:t>, such that the term “</w:t>
      </w:r>
      <w:r w:rsidR="00D609DD" w:rsidRPr="00380E0D">
        <w:rPr>
          <w:i/>
          <w:iCs/>
          <w:sz w:val="24"/>
          <w:szCs w:val="24"/>
        </w:rPr>
        <w:t>woman</w:t>
      </w:r>
      <w:r w:rsidR="00D609DD" w:rsidRPr="00380E0D">
        <w:rPr>
          <w:sz w:val="24"/>
          <w:szCs w:val="24"/>
        </w:rPr>
        <w:t xml:space="preserve">” includes those </w:t>
      </w:r>
      <w:r w:rsidR="00E356CE" w:rsidRPr="00380E0D">
        <w:rPr>
          <w:sz w:val="24"/>
          <w:szCs w:val="24"/>
        </w:rPr>
        <w:t xml:space="preserve">whose natal sex is </w:t>
      </w:r>
      <w:r w:rsidR="00D609DD" w:rsidRPr="00380E0D">
        <w:rPr>
          <w:sz w:val="24"/>
          <w:szCs w:val="24"/>
        </w:rPr>
        <w:t xml:space="preserve">male, but who later obtain a GRC </w:t>
      </w:r>
      <w:r w:rsidR="00E356CE" w:rsidRPr="00380E0D">
        <w:rPr>
          <w:sz w:val="24"/>
          <w:szCs w:val="24"/>
        </w:rPr>
        <w:t xml:space="preserve">and are </w:t>
      </w:r>
      <w:r w:rsidR="00CB1B01" w:rsidRPr="00380E0D">
        <w:rPr>
          <w:sz w:val="24"/>
          <w:szCs w:val="24"/>
        </w:rPr>
        <w:t xml:space="preserve">recognised under the GRA </w:t>
      </w:r>
      <w:r w:rsidR="00D609DD" w:rsidRPr="00380E0D">
        <w:rPr>
          <w:sz w:val="24"/>
          <w:szCs w:val="24"/>
        </w:rPr>
        <w:t>as a woman</w:t>
      </w:r>
      <w:r w:rsidR="00362937" w:rsidRPr="00380E0D">
        <w:rPr>
          <w:sz w:val="24"/>
          <w:szCs w:val="24"/>
        </w:rPr>
        <w:t xml:space="preserve"> </w:t>
      </w:r>
      <w:r w:rsidR="00913341" w:rsidRPr="00380E0D">
        <w:rPr>
          <w:sz w:val="24"/>
          <w:szCs w:val="24"/>
        </w:rPr>
        <w:t>(“</w:t>
      </w:r>
      <w:r w:rsidR="00913341" w:rsidRPr="00380E0D">
        <w:rPr>
          <w:b/>
          <w:bCs/>
          <w:sz w:val="24"/>
          <w:szCs w:val="24"/>
        </w:rPr>
        <w:t>the second definition</w:t>
      </w:r>
      <w:r w:rsidR="00913341" w:rsidRPr="00380E0D">
        <w:rPr>
          <w:sz w:val="24"/>
          <w:szCs w:val="24"/>
        </w:rPr>
        <w:t>”</w:t>
      </w:r>
      <w:r w:rsidR="007C081F" w:rsidRPr="00380E0D">
        <w:rPr>
          <w:sz w:val="24"/>
          <w:szCs w:val="24"/>
        </w:rPr>
        <w:t>, commonly referred to by the shorthand “</w:t>
      </w:r>
      <w:r w:rsidR="007C081F" w:rsidRPr="00380E0D">
        <w:rPr>
          <w:i/>
          <w:iCs/>
          <w:sz w:val="24"/>
          <w:szCs w:val="24"/>
        </w:rPr>
        <w:t>legal sex</w:t>
      </w:r>
      <w:r w:rsidR="007C081F" w:rsidRPr="00380E0D">
        <w:rPr>
          <w:sz w:val="24"/>
          <w:szCs w:val="24"/>
        </w:rPr>
        <w:t>”</w:t>
      </w:r>
      <w:r w:rsidR="00913341" w:rsidRPr="00380E0D">
        <w:rPr>
          <w:sz w:val="24"/>
          <w:szCs w:val="24"/>
        </w:rPr>
        <w:t>)</w:t>
      </w:r>
      <w:r w:rsidR="00E356CE" w:rsidRPr="00380E0D">
        <w:rPr>
          <w:sz w:val="24"/>
          <w:szCs w:val="24"/>
        </w:rPr>
        <w:t xml:space="preserve"> </w:t>
      </w:r>
      <w:r w:rsidR="00362937" w:rsidRPr="00380E0D">
        <w:rPr>
          <w:sz w:val="24"/>
          <w:szCs w:val="24"/>
        </w:rPr>
        <w:t>(“</w:t>
      </w:r>
      <w:r w:rsidR="00362937" w:rsidRPr="00380E0D">
        <w:rPr>
          <w:b/>
          <w:bCs/>
          <w:sz w:val="24"/>
          <w:szCs w:val="24"/>
        </w:rPr>
        <w:t>the two definitions</w:t>
      </w:r>
      <w:r w:rsidR="00362937" w:rsidRPr="00380E0D">
        <w:rPr>
          <w:sz w:val="24"/>
          <w:szCs w:val="24"/>
        </w:rPr>
        <w:t>”)</w:t>
      </w:r>
      <w:r w:rsidR="00D609DD" w:rsidRPr="00380E0D">
        <w:rPr>
          <w:sz w:val="24"/>
          <w:szCs w:val="24"/>
        </w:rPr>
        <w:t>.</w:t>
      </w:r>
    </w:p>
    <w:p w14:paraId="60774EAC" w14:textId="77777777" w:rsidR="00D609DD" w:rsidRPr="00536BFF" w:rsidRDefault="00D609DD" w:rsidP="00C34C1B">
      <w:pPr>
        <w:pStyle w:val="ListParagraph"/>
        <w:spacing w:line="360" w:lineRule="auto"/>
        <w:jc w:val="both"/>
        <w:rPr>
          <w:sz w:val="16"/>
          <w:szCs w:val="16"/>
        </w:rPr>
      </w:pPr>
    </w:p>
    <w:p w14:paraId="783EA4F5" w14:textId="2D6524F4" w:rsidR="00D609DD" w:rsidRPr="00380E0D" w:rsidRDefault="00D609DD" w:rsidP="00C34C1B">
      <w:pPr>
        <w:pStyle w:val="ListParagraph"/>
        <w:numPr>
          <w:ilvl w:val="0"/>
          <w:numId w:val="1"/>
        </w:numPr>
        <w:spacing w:line="360" w:lineRule="auto"/>
        <w:jc w:val="both"/>
        <w:rPr>
          <w:sz w:val="24"/>
          <w:szCs w:val="24"/>
        </w:rPr>
      </w:pPr>
      <w:r w:rsidRPr="00380E0D">
        <w:rPr>
          <w:sz w:val="24"/>
          <w:szCs w:val="24"/>
        </w:rPr>
        <w:t>Th</w:t>
      </w:r>
      <w:r w:rsidR="00E356CE" w:rsidRPr="00380E0D">
        <w:rPr>
          <w:sz w:val="24"/>
          <w:szCs w:val="24"/>
        </w:rPr>
        <w:t xml:space="preserve">at issue in turn </w:t>
      </w:r>
      <w:r w:rsidRPr="00380E0D">
        <w:rPr>
          <w:sz w:val="24"/>
          <w:szCs w:val="24"/>
        </w:rPr>
        <w:t xml:space="preserve">raises nuanced and complex </w:t>
      </w:r>
      <w:r w:rsidR="00E356CE" w:rsidRPr="00380E0D">
        <w:rPr>
          <w:sz w:val="24"/>
          <w:szCs w:val="24"/>
        </w:rPr>
        <w:t>questions</w:t>
      </w:r>
      <w:r w:rsidRPr="00380E0D">
        <w:rPr>
          <w:sz w:val="24"/>
          <w:szCs w:val="24"/>
        </w:rPr>
        <w:t xml:space="preserve"> of interpretation of the </w:t>
      </w:r>
      <w:r w:rsidR="005E4916" w:rsidRPr="00380E0D">
        <w:rPr>
          <w:sz w:val="24"/>
          <w:szCs w:val="24"/>
        </w:rPr>
        <w:t>primary</w:t>
      </w:r>
      <w:r w:rsidRPr="00380E0D">
        <w:rPr>
          <w:sz w:val="24"/>
          <w:szCs w:val="24"/>
        </w:rPr>
        <w:t xml:space="preserve"> piece of legislation governing equality law in </w:t>
      </w:r>
      <w:r w:rsidR="007C081F" w:rsidRPr="00380E0D">
        <w:rPr>
          <w:sz w:val="24"/>
          <w:szCs w:val="24"/>
        </w:rPr>
        <w:t>Great Britain</w:t>
      </w:r>
      <w:r w:rsidRPr="00380E0D">
        <w:rPr>
          <w:sz w:val="24"/>
          <w:szCs w:val="24"/>
        </w:rPr>
        <w:t>.  It</w:t>
      </w:r>
      <w:r w:rsidR="000C72D5" w:rsidRPr="00380E0D">
        <w:rPr>
          <w:sz w:val="24"/>
          <w:szCs w:val="24"/>
        </w:rPr>
        <w:t>s</w:t>
      </w:r>
      <w:r w:rsidRPr="00380E0D">
        <w:rPr>
          <w:sz w:val="24"/>
          <w:szCs w:val="24"/>
        </w:rPr>
        <w:t xml:space="preserve"> importance to those who</w:t>
      </w:r>
      <w:r w:rsidR="00C31891" w:rsidRPr="00380E0D">
        <w:rPr>
          <w:sz w:val="24"/>
          <w:szCs w:val="24"/>
        </w:rPr>
        <w:t xml:space="preserve">se rights under the </w:t>
      </w:r>
      <w:proofErr w:type="spellStart"/>
      <w:r w:rsidR="00C31891" w:rsidRPr="00380E0D">
        <w:rPr>
          <w:sz w:val="24"/>
          <w:szCs w:val="24"/>
        </w:rPr>
        <w:t>EqA</w:t>
      </w:r>
      <w:proofErr w:type="spellEnd"/>
      <w:r w:rsidR="00C31891" w:rsidRPr="00380E0D">
        <w:rPr>
          <w:sz w:val="24"/>
          <w:szCs w:val="24"/>
        </w:rPr>
        <w:t xml:space="preserve"> are potentially affected is not to be understated</w:t>
      </w:r>
      <w:r w:rsidR="00CB1B01" w:rsidRPr="00380E0D">
        <w:rPr>
          <w:sz w:val="24"/>
          <w:szCs w:val="24"/>
        </w:rPr>
        <w:t>.</w:t>
      </w:r>
      <w:r w:rsidR="00C31891" w:rsidRPr="00380E0D">
        <w:rPr>
          <w:sz w:val="24"/>
          <w:szCs w:val="24"/>
        </w:rPr>
        <w:t xml:space="preserve"> The </w:t>
      </w:r>
      <w:r w:rsidR="0010616A" w:rsidRPr="00380E0D">
        <w:rPr>
          <w:sz w:val="24"/>
          <w:szCs w:val="24"/>
        </w:rPr>
        <w:t>Commission</w:t>
      </w:r>
      <w:r w:rsidR="00C31891" w:rsidRPr="00380E0D">
        <w:rPr>
          <w:sz w:val="24"/>
          <w:szCs w:val="24"/>
        </w:rPr>
        <w:t xml:space="preserve">, as the body designated to </w:t>
      </w:r>
      <w:r w:rsidR="00A35D90" w:rsidRPr="00380E0D">
        <w:rPr>
          <w:sz w:val="24"/>
          <w:szCs w:val="24"/>
        </w:rPr>
        <w:t>encourage and support the development of a society in which (among other goals) equality and human rights are respected and protected</w:t>
      </w:r>
      <w:r w:rsidR="00CB1B01" w:rsidRPr="00380E0D">
        <w:rPr>
          <w:sz w:val="24"/>
          <w:szCs w:val="24"/>
        </w:rPr>
        <w:t xml:space="preserve">, is cognisant that </w:t>
      </w:r>
      <w:r w:rsidR="00286A2E" w:rsidRPr="00380E0D">
        <w:rPr>
          <w:sz w:val="24"/>
          <w:szCs w:val="24"/>
        </w:rPr>
        <w:t>this case concerns potentially conflicting</w:t>
      </w:r>
      <w:r w:rsidR="00B56167" w:rsidRPr="00380E0D">
        <w:rPr>
          <w:sz w:val="24"/>
          <w:szCs w:val="24"/>
        </w:rPr>
        <w:t xml:space="preserve"> rights and</w:t>
      </w:r>
      <w:r w:rsidR="00286A2E" w:rsidRPr="00380E0D">
        <w:rPr>
          <w:sz w:val="24"/>
          <w:szCs w:val="24"/>
        </w:rPr>
        <w:t xml:space="preserve"> interests</w:t>
      </w:r>
      <w:r w:rsidR="00FB703B" w:rsidRPr="00380E0D">
        <w:rPr>
          <w:sz w:val="24"/>
          <w:szCs w:val="24"/>
        </w:rPr>
        <w:t xml:space="preserve">.  </w:t>
      </w:r>
      <w:r w:rsidR="004107C3" w:rsidRPr="00380E0D">
        <w:rPr>
          <w:sz w:val="24"/>
          <w:szCs w:val="24"/>
        </w:rPr>
        <w:t>Whil</w:t>
      </w:r>
      <w:r w:rsidR="00E356CE" w:rsidRPr="00380E0D">
        <w:rPr>
          <w:sz w:val="24"/>
          <w:szCs w:val="24"/>
        </w:rPr>
        <w:t>st</w:t>
      </w:r>
      <w:r w:rsidR="004107C3" w:rsidRPr="00380E0D">
        <w:rPr>
          <w:sz w:val="24"/>
          <w:szCs w:val="24"/>
        </w:rPr>
        <w:t xml:space="preserve"> th</w:t>
      </w:r>
      <w:r w:rsidR="00E356CE" w:rsidRPr="00380E0D">
        <w:rPr>
          <w:sz w:val="24"/>
          <w:szCs w:val="24"/>
        </w:rPr>
        <w:t xml:space="preserve">e </w:t>
      </w:r>
      <w:r w:rsidR="004107C3" w:rsidRPr="00380E0D">
        <w:rPr>
          <w:sz w:val="24"/>
          <w:szCs w:val="24"/>
        </w:rPr>
        <w:t>debate</w:t>
      </w:r>
      <w:r w:rsidR="00E356CE" w:rsidRPr="00380E0D">
        <w:rPr>
          <w:sz w:val="24"/>
          <w:szCs w:val="24"/>
        </w:rPr>
        <w:t xml:space="preserve"> in society over the proper scope of the rights of transgender persons</w:t>
      </w:r>
      <w:r w:rsidR="004107C3" w:rsidRPr="00380E0D">
        <w:rPr>
          <w:sz w:val="24"/>
          <w:szCs w:val="24"/>
        </w:rPr>
        <w:t xml:space="preserve"> is</w:t>
      </w:r>
      <w:r w:rsidR="00286A2E" w:rsidRPr="00380E0D">
        <w:rPr>
          <w:sz w:val="24"/>
          <w:szCs w:val="24"/>
        </w:rPr>
        <w:t>,</w:t>
      </w:r>
      <w:r w:rsidR="004107C3" w:rsidRPr="00380E0D">
        <w:rPr>
          <w:sz w:val="24"/>
          <w:szCs w:val="24"/>
        </w:rPr>
        <w:t xml:space="preserve"> in the words of </w:t>
      </w:r>
      <w:r w:rsidR="00601930" w:rsidRPr="00380E0D">
        <w:rPr>
          <w:sz w:val="24"/>
          <w:szCs w:val="24"/>
        </w:rPr>
        <w:t>Choudhury P</w:t>
      </w:r>
      <w:r w:rsidR="004107C3" w:rsidRPr="00380E0D">
        <w:rPr>
          <w:sz w:val="24"/>
          <w:szCs w:val="24"/>
        </w:rPr>
        <w:t xml:space="preserve"> </w:t>
      </w:r>
      <w:r w:rsidR="00601930" w:rsidRPr="00380E0D">
        <w:rPr>
          <w:sz w:val="24"/>
          <w:szCs w:val="24"/>
        </w:rPr>
        <w:t xml:space="preserve">in </w:t>
      </w:r>
      <w:proofErr w:type="spellStart"/>
      <w:r w:rsidR="00601930" w:rsidRPr="00380E0D">
        <w:rPr>
          <w:i/>
          <w:iCs/>
          <w:sz w:val="24"/>
          <w:szCs w:val="24"/>
        </w:rPr>
        <w:t>Forstater</w:t>
      </w:r>
      <w:proofErr w:type="spellEnd"/>
      <w:r w:rsidR="00286A2E" w:rsidRPr="00380E0D">
        <w:rPr>
          <w:i/>
          <w:iCs/>
          <w:sz w:val="24"/>
          <w:szCs w:val="24"/>
        </w:rPr>
        <w:t xml:space="preserve"> v CGD Europe</w:t>
      </w:r>
      <w:r w:rsidR="00286A2E" w:rsidRPr="00380E0D">
        <w:rPr>
          <w:sz w:val="24"/>
          <w:szCs w:val="24"/>
        </w:rPr>
        <w:t xml:space="preserve"> [2022] ICR 1</w:t>
      </w:r>
      <w:r w:rsidR="00601930" w:rsidRPr="00380E0D">
        <w:rPr>
          <w:sz w:val="24"/>
          <w:szCs w:val="24"/>
        </w:rPr>
        <w:t xml:space="preserve"> </w:t>
      </w:r>
      <w:r w:rsidR="00286A2E" w:rsidRPr="00380E0D">
        <w:rPr>
          <w:sz w:val="24"/>
          <w:szCs w:val="24"/>
        </w:rPr>
        <w:t xml:space="preserve">too often </w:t>
      </w:r>
      <w:r w:rsidR="004107C3" w:rsidRPr="00380E0D">
        <w:rPr>
          <w:sz w:val="24"/>
          <w:szCs w:val="24"/>
        </w:rPr>
        <w:t xml:space="preserve">conducted in </w:t>
      </w:r>
      <w:r w:rsidR="00601930" w:rsidRPr="00380E0D">
        <w:rPr>
          <w:sz w:val="24"/>
          <w:szCs w:val="24"/>
        </w:rPr>
        <w:t>“</w:t>
      </w:r>
      <w:r w:rsidR="00601930" w:rsidRPr="00380E0D">
        <w:rPr>
          <w:i/>
          <w:iCs/>
          <w:sz w:val="24"/>
          <w:szCs w:val="24"/>
        </w:rPr>
        <w:t>hyperbolic and intransigent</w:t>
      </w:r>
      <w:r w:rsidR="00601930" w:rsidRPr="00380E0D">
        <w:rPr>
          <w:sz w:val="24"/>
          <w:szCs w:val="24"/>
        </w:rPr>
        <w:t>” terms (§2)</w:t>
      </w:r>
      <w:r w:rsidR="007945F4" w:rsidRPr="00380E0D">
        <w:rPr>
          <w:sz w:val="24"/>
          <w:szCs w:val="24"/>
        </w:rPr>
        <w:t xml:space="preserve">, it is not uncommon for rights of one </w:t>
      </w:r>
      <w:r w:rsidR="00BD0F6B" w:rsidRPr="00380E0D">
        <w:rPr>
          <w:sz w:val="24"/>
          <w:szCs w:val="24"/>
        </w:rPr>
        <w:t>protected group</w:t>
      </w:r>
      <w:r w:rsidR="007945F4" w:rsidRPr="00380E0D">
        <w:rPr>
          <w:sz w:val="24"/>
          <w:szCs w:val="24"/>
        </w:rPr>
        <w:t xml:space="preserve"> to sit uncomfortably with the rights of another</w:t>
      </w:r>
      <w:r w:rsidR="00E356CE" w:rsidRPr="00380E0D">
        <w:rPr>
          <w:sz w:val="24"/>
          <w:szCs w:val="24"/>
        </w:rPr>
        <w:t>, creating difficult questions for equality law</w:t>
      </w:r>
      <w:r w:rsidR="00D0657E" w:rsidRPr="00380E0D">
        <w:rPr>
          <w:sz w:val="24"/>
          <w:szCs w:val="24"/>
        </w:rPr>
        <w:t xml:space="preserve">.  </w:t>
      </w:r>
      <w:r w:rsidR="00543B28" w:rsidRPr="00380E0D">
        <w:rPr>
          <w:sz w:val="24"/>
          <w:szCs w:val="24"/>
        </w:rPr>
        <w:t>The difficulties raised by the present appeal are particularly stark</w:t>
      </w:r>
      <w:r w:rsidR="00FB703B" w:rsidRPr="00380E0D">
        <w:rPr>
          <w:sz w:val="24"/>
          <w:szCs w:val="24"/>
        </w:rPr>
        <w:t>.</w:t>
      </w:r>
      <w:r w:rsidR="00107640" w:rsidRPr="00380E0D">
        <w:rPr>
          <w:sz w:val="24"/>
          <w:szCs w:val="24"/>
        </w:rPr>
        <w:t xml:space="preserve">  </w:t>
      </w:r>
    </w:p>
    <w:p w14:paraId="418C9FFE" w14:textId="77777777" w:rsidR="00A35D90" w:rsidRPr="00536BFF" w:rsidRDefault="00A35D90" w:rsidP="00C34C1B">
      <w:pPr>
        <w:pStyle w:val="ListParagraph"/>
        <w:spacing w:line="360" w:lineRule="auto"/>
        <w:jc w:val="both"/>
        <w:rPr>
          <w:sz w:val="16"/>
          <w:szCs w:val="16"/>
        </w:rPr>
      </w:pPr>
    </w:p>
    <w:p w14:paraId="2E8F1104" w14:textId="3197C4EF" w:rsidR="00A35D90" w:rsidRPr="00380E0D" w:rsidRDefault="00A35D90" w:rsidP="00C34C1B">
      <w:pPr>
        <w:pStyle w:val="ListParagraph"/>
        <w:numPr>
          <w:ilvl w:val="0"/>
          <w:numId w:val="1"/>
        </w:numPr>
        <w:spacing w:line="360" w:lineRule="auto"/>
        <w:jc w:val="both"/>
        <w:rPr>
          <w:sz w:val="24"/>
          <w:szCs w:val="24"/>
        </w:rPr>
      </w:pPr>
      <w:r w:rsidRPr="00380E0D">
        <w:rPr>
          <w:sz w:val="24"/>
          <w:szCs w:val="24"/>
        </w:rPr>
        <w:t xml:space="preserve">The Appellant </w:t>
      </w:r>
      <w:r w:rsidR="423C8CA1" w:rsidRPr="00380E0D">
        <w:rPr>
          <w:sz w:val="24"/>
          <w:szCs w:val="24"/>
        </w:rPr>
        <w:t>rightly</w:t>
      </w:r>
      <w:r w:rsidRPr="00380E0D">
        <w:rPr>
          <w:sz w:val="24"/>
          <w:szCs w:val="24"/>
        </w:rPr>
        <w:t xml:space="preserve"> </w:t>
      </w:r>
      <w:r w:rsidR="00E356CE" w:rsidRPr="00380E0D">
        <w:rPr>
          <w:sz w:val="24"/>
          <w:szCs w:val="24"/>
        </w:rPr>
        <w:t>refers to</w:t>
      </w:r>
      <w:r w:rsidRPr="00380E0D">
        <w:rPr>
          <w:sz w:val="24"/>
          <w:szCs w:val="24"/>
        </w:rPr>
        <w:t xml:space="preserve"> the historic </w:t>
      </w:r>
      <w:r w:rsidR="006873AB" w:rsidRPr="00380E0D">
        <w:rPr>
          <w:sz w:val="24"/>
          <w:szCs w:val="24"/>
        </w:rPr>
        <w:t xml:space="preserve">inequality </w:t>
      </w:r>
      <w:r w:rsidRPr="00380E0D">
        <w:rPr>
          <w:sz w:val="24"/>
          <w:szCs w:val="24"/>
        </w:rPr>
        <w:t xml:space="preserve">experienced by women, and the context of discrimination </w:t>
      </w:r>
      <w:r w:rsidR="006873AB" w:rsidRPr="00380E0D">
        <w:rPr>
          <w:sz w:val="24"/>
          <w:szCs w:val="24"/>
        </w:rPr>
        <w:t>and appalling sex</w:t>
      </w:r>
      <w:r w:rsidR="00005240" w:rsidRPr="00380E0D">
        <w:rPr>
          <w:sz w:val="24"/>
          <w:szCs w:val="24"/>
        </w:rPr>
        <w:t>-</w:t>
      </w:r>
      <w:r w:rsidR="006873AB" w:rsidRPr="00380E0D">
        <w:rPr>
          <w:sz w:val="24"/>
          <w:szCs w:val="24"/>
        </w:rPr>
        <w:t>based violence</w:t>
      </w:r>
      <w:r w:rsidRPr="00380E0D">
        <w:rPr>
          <w:sz w:val="24"/>
          <w:szCs w:val="24"/>
        </w:rPr>
        <w:t xml:space="preserve"> </w:t>
      </w:r>
      <w:r w:rsidR="00686B3A" w:rsidRPr="00380E0D">
        <w:rPr>
          <w:sz w:val="24"/>
          <w:szCs w:val="24"/>
        </w:rPr>
        <w:t xml:space="preserve">still </w:t>
      </w:r>
      <w:r w:rsidRPr="00380E0D">
        <w:rPr>
          <w:sz w:val="24"/>
          <w:szCs w:val="24"/>
        </w:rPr>
        <w:t>experienced by women today</w:t>
      </w:r>
      <w:r w:rsidR="00BD0F6B" w:rsidRPr="00380E0D">
        <w:rPr>
          <w:sz w:val="24"/>
          <w:szCs w:val="24"/>
        </w:rPr>
        <w:t xml:space="preserve"> [AC§</w:t>
      </w:r>
      <w:r w:rsidR="00C83B01" w:rsidRPr="00380E0D">
        <w:rPr>
          <w:sz w:val="24"/>
          <w:szCs w:val="24"/>
        </w:rPr>
        <w:t>§33-37</w:t>
      </w:r>
      <w:r w:rsidR="00536BFF">
        <w:rPr>
          <w:sz w:val="24"/>
          <w:szCs w:val="24"/>
        </w:rPr>
        <w:t xml:space="preserve"> </w:t>
      </w:r>
      <w:r w:rsidR="00536BFF" w:rsidRPr="00536BFF">
        <w:rPr>
          <w:color w:val="FF0000"/>
          <w:sz w:val="24"/>
          <w:szCs w:val="24"/>
        </w:rPr>
        <w:t>EF.</w:t>
      </w:r>
      <w:r w:rsidR="00B84670">
        <w:rPr>
          <w:color w:val="FF0000"/>
          <w:sz w:val="24"/>
          <w:szCs w:val="24"/>
        </w:rPr>
        <w:t>1</w:t>
      </w:r>
      <w:r w:rsidR="0029091A">
        <w:rPr>
          <w:color w:val="FF0000"/>
          <w:sz w:val="24"/>
          <w:szCs w:val="24"/>
        </w:rPr>
        <w:t>67</w:t>
      </w:r>
      <w:r w:rsidR="00BD0F6B" w:rsidRPr="00380E0D">
        <w:rPr>
          <w:sz w:val="24"/>
          <w:szCs w:val="24"/>
        </w:rPr>
        <w:t>]</w:t>
      </w:r>
      <w:r w:rsidRPr="00380E0D">
        <w:rPr>
          <w:sz w:val="24"/>
          <w:szCs w:val="24"/>
        </w:rPr>
        <w:t xml:space="preserve">.  This </w:t>
      </w:r>
      <w:r w:rsidR="005E51A1" w:rsidRPr="00380E0D">
        <w:rPr>
          <w:sz w:val="24"/>
          <w:szCs w:val="24"/>
        </w:rPr>
        <w:t>C</w:t>
      </w:r>
      <w:r w:rsidRPr="00380E0D">
        <w:rPr>
          <w:sz w:val="24"/>
          <w:szCs w:val="24"/>
        </w:rPr>
        <w:t xml:space="preserve">ourt will also recognise that a group of individuals whose </w:t>
      </w:r>
      <w:r w:rsidR="00601930" w:rsidRPr="00380E0D">
        <w:rPr>
          <w:sz w:val="24"/>
          <w:szCs w:val="24"/>
        </w:rPr>
        <w:t xml:space="preserve">legal </w:t>
      </w:r>
      <w:r w:rsidRPr="00380E0D">
        <w:rPr>
          <w:sz w:val="24"/>
          <w:szCs w:val="24"/>
        </w:rPr>
        <w:t xml:space="preserve">rights will be affected by this judgment are those with a GRC.  </w:t>
      </w:r>
      <w:r w:rsidR="00BD0F6B" w:rsidRPr="00380E0D">
        <w:rPr>
          <w:sz w:val="24"/>
          <w:szCs w:val="24"/>
        </w:rPr>
        <w:t xml:space="preserve">The historic disadvantages and </w:t>
      </w:r>
      <w:r w:rsidR="0013412F" w:rsidRPr="00380E0D">
        <w:rPr>
          <w:sz w:val="24"/>
          <w:szCs w:val="24"/>
        </w:rPr>
        <w:t>challenges</w:t>
      </w:r>
      <w:r w:rsidR="003E54DC" w:rsidRPr="00380E0D">
        <w:rPr>
          <w:sz w:val="24"/>
          <w:szCs w:val="24"/>
        </w:rPr>
        <w:t xml:space="preserve"> which</w:t>
      </w:r>
      <w:r w:rsidR="0013412F" w:rsidRPr="00380E0D">
        <w:rPr>
          <w:sz w:val="24"/>
          <w:szCs w:val="24"/>
        </w:rPr>
        <w:t xml:space="preserve"> those individuals</w:t>
      </w:r>
      <w:r w:rsidR="003E54DC" w:rsidRPr="00380E0D">
        <w:rPr>
          <w:sz w:val="24"/>
          <w:szCs w:val="24"/>
        </w:rPr>
        <w:t xml:space="preserve"> have faced</w:t>
      </w:r>
      <w:r w:rsidR="0013412F" w:rsidRPr="00380E0D">
        <w:rPr>
          <w:sz w:val="24"/>
          <w:szCs w:val="24"/>
        </w:rPr>
        <w:t xml:space="preserve">, and the difficulties </w:t>
      </w:r>
      <w:r w:rsidR="00005240" w:rsidRPr="00380E0D">
        <w:rPr>
          <w:sz w:val="24"/>
          <w:szCs w:val="24"/>
        </w:rPr>
        <w:t xml:space="preserve">faced </w:t>
      </w:r>
      <w:r w:rsidR="0010616A" w:rsidRPr="00380E0D">
        <w:rPr>
          <w:sz w:val="24"/>
          <w:szCs w:val="24"/>
        </w:rPr>
        <w:t xml:space="preserve">more generally </w:t>
      </w:r>
      <w:r w:rsidR="00005240" w:rsidRPr="00380E0D">
        <w:rPr>
          <w:sz w:val="24"/>
          <w:szCs w:val="24"/>
        </w:rPr>
        <w:t>by</w:t>
      </w:r>
      <w:r w:rsidR="0013412F" w:rsidRPr="00380E0D">
        <w:rPr>
          <w:sz w:val="24"/>
          <w:szCs w:val="24"/>
        </w:rPr>
        <w:t xml:space="preserve"> </w:t>
      </w:r>
      <w:r w:rsidR="0013412F" w:rsidRPr="00380E0D">
        <w:rPr>
          <w:sz w:val="24"/>
          <w:szCs w:val="24"/>
        </w:rPr>
        <w:lastRenderedPageBreak/>
        <w:t>trans</w:t>
      </w:r>
      <w:r w:rsidR="004C5AEE" w:rsidRPr="00380E0D">
        <w:rPr>
          <w:sz w:val="24"/>
          <w:szCs w:val="24"/>
        </w:rPr>
        <w:t>gender</w:t>
      </w:r>
      <w:r w:rsidR="0013412F" w:rsidRPr="00380E0D">
        <w:rPr>
          <w:sz w:val="24"/>
          <w:szCs w:val="24"/>
        </w:rPr>
        <w:t xml:space="preserve"> </w:t>
      </w:r>
      <w:r w:rsidR="004C5AEE" w:rsidRPr="00380E0D">
        <w:rPr>
          <w:sz w:val="24"/>
          <w:szCs w:val="24"/>
        </w:rPr>
        <w:t>people</w:t>
      </w:r>
      <w:r w:rsidR="00005240" w:rsidRPr="00380E0D">
        <w:rPr>
          <w:sz w:val="24"/>
          <w:szCs w:val="24"/>
        </w:rPr>
        <w:t xml:space="preserve"> </w:t>
      </w:r>
      <w:r w:rsidR="0013412F" w:rsidRPr="00380E0D">
        <w:rPr>
          <w:sz w:val="24"/>
          <w:szCs w:val="24"/>
        </w:rPr>
        <w:t xml:space="preserve">should not be </w:t>
      </w:r>
      <w:r w:rsidR="00380228" w:rsidRPr="00380E0D">
        <w:rPr>
          <w:sz w:val="24"/>
          <w:szCs w:val="24"/>
        </w:rPr>
        <w:t xml:space="preserve">ignored </w:t>
      </w:r>
      <w:r w:rsidR="006E26CD" w:rsidRPr="00380E0D">
        <w:rPr>
          <w:sz w:val="24"/>
          <w:szCs w:val="24"/>
        </w:rPr>
        <w:t>(</w:t>
      </w:r>
      <w:proofErr w:type="spellStart"/>
      <w:r w:rsidR="006E26CD" w:rsidRPr="00380E0D">
        <w:rPr>
          <w:i/>
          <w:iCs/>
          <w:sz w:val="24"/>
          <w:szCs w:val="24"/>
        </w:rPr>
        <w:t>Forstater</w:t>
      </w:r>
      <w:proofErr w:type="spellEnd"/>
      <w:r w:rsidR="006E26CD" w:rsidRPr="00380E0D">
        <w:rPr>
          <w:sz w:val="24"/>
          <w:szCs w:val="24"/>
        </w:rPr>
        <w:t>, §3)</w:t>
      </w:r>
      <w:r w:rsidR="0013412F" w:rsidRPr="00380E0D">
        <w:rPr>
          <w:sz w:val="24"/>
          <w:szCs w:val="24"/>
        </w:rPr>
        <w:t>.</w:t>
      </w:r>
      <w:r w:rsidR="009017D7" w:rsidRPr="00380E0D">
        <w:rPr>
          <w:sz w:val="24"/>
          <w:szCs w:val="24"/>
        </w:rPr>
        <w:t xml:space="preserve"> </w:t>
      </w:r>
      <w:r w:rsidR="00BD0F6B" w:rsidRPr="00380E0D">
        <w:rPr>
          <w:sz w:val="24"/>
          <w:szCs w:val="24"/>
        </w:rPr>
        <w:t xml:space="preserve">The Court is invited to </w:t>
      </w:r>
      <w:r w:rsidR="005E4916" w:rsidRPr="00380E0D">
        <w:rPr>
          <w:sz w:val="24"/>
          <w:szCs w:val="24"/>
        </w:rPr>
        <w:t xml:space="preserve">also </w:t>
      </w:r>
      <w:r w:rsidR="003E54DC" w:rsidRPr="00380E0D">
        <w:rPr>
          <w:sz w:val="24"/>
          <w:szCs w:val="24"/>
        </w:rPr>
        <w:t>keep</w:t>
      </w:r>
      <w:r w:rsidR="005E4916" w:rsidRPr="00380E0D">
        <w:rPr>
          <w:sz w:val="24"/>
          <w:szCs w:val="24"/>
        </w:rPr>
        <w:t xml:space="preserve"> </w:t>
      </w:r>
      <w:r w:rsidR="00DC0440">
        <w:rPr>
          <w:sz w:val="24"/>
          <w:szCs w:val="24"/>
        </w:rPr>
        <w:t xml:space="preserve">both these </w:t>
      </w:r>
      <w:r w:rsidR="003E54DC" w:rsidRPr="00380E0D">
        <w:rPr>
          <w:sz w:val="24"/>
          <w:szCs w:val="24"/>
        </w:rPr>
        <w:t>aspect</w:t>
      </w:r>
      <w:r w:rsidR="00DC0440">
        <w:rPr>
          <w:sz w:val="24"/>
          <w:szCs w:val="24"/>
        </w:rPr>
        <w:t>s</w:t>
      </w:r>
      <w:r w:rsidR="003E54DC" w:rsidRPr="00380E0D">
        <w:rPr>
          <w:sz w:val="24"/>
          <w:szCs w:val="24"/>
        </w:rPr>
        <w:t xml:space="preserve"> </w:t>
      </w:r>
      <w:r w:rsidR="00BD0F6B" w:rsidRPr="00380E0D">
        <w:rPr>
          <w:sz w:val="24"/>
          <w:szCs w:val="24"/>
        </w:rPr>
        <w:t xml:space="preserve">in mind </w:t>
      </w:r>
      <w:r w:rsidR="002F592D" w:rsidRPr="00380E0D">
        <w:rPr>
          <w:sz w:val="24"/>
          <w:szCs w:val="24"/>
        </w:rPr>
        <w:t>in considering th</w:t>
      </w:r>
      <w:r w:rsidR="003E54DC" w:rsidRPr="00380E0D">
        <w:rPr>
          <w:sz w:val="24"/>
          <w:szCs w:val="24"/>
        </w:rPr>
        <w:t xml:space="preserve">e central issue </w:t>
      </w:r>
      <w:r w:rsidR="002F592D" w:rsidRPr="00380E0D">
        <w:rPr>
          <w:sz w:val="24"/>
          <w:szCs w:val="24"/>
        </w:rPr>
        <w:t>of statutory interpretation</w:t>
      </w:r>
      <w:r w:rsidR="00C83B01" w:rsidRPr="00380E0D">
        <w:rPr>
          <w:sz w:val="24"/>
          <w:szCs w:val="24"/>
        </w:rPr>
        <w:t xml:space="preserve"> and the intention of Parliament in passing the GRA and the </w:t>
      </w:r>
      <w:proofErr w:type="spellStart"/>
      <w:r w:rsidR="00C83B01" w:rsidRPr="00380E0D">
        <w:rPr>
          <w:sz w:val="24"/>
          <w:szCs w:val="24"/>
        </w:rPr>
        <w:t>EqA</w:t>
      </w:r>
      <w:proofErr w:type="spellEnd"/>
      <w:r w:rsidR="009017D7" w:rsidRPr="00380E0D">
        <w:rPr>
          <w:sz w:val="24"/>
          <w:szCs w:val="24"/>
        </w:rPr>
        <w:t xml:space="preserve">.  </w:t>
      </w:r>
      <w:r w:rsidR="00543B28" w:rsidRPr="00380E0D">
        <w:rPr>
          <w:sz w:val="24"/>
          <w:szCs w:val="24"/>
        </w:rPr>
        <w:t xml:space="preserve"> In making these submissions, the Commission is not seeking to advance, or advocate for, the preference of one group’s rights over another’s but to assist the Court in understanding which of the two definitions, as a matter of statutory interpretation, is correct in law and what are the consequences of that conclusion for the operation of equality law.</w:t>
      </w:r>
    </w:p>
    <w:p w14:paraId="26B4E313" w14:textId="77777777" w:rsidR="00362937" w:rsidRPr="00536BFF" w:rsidRDefault="00362937" w:rsidP="00C34C1B">
      <w:pPr>
        <w:pStyle w:val="ListParagraph"/>
        <w:spacing w:line="360" w:lineRule="auto"/>
        <w:jc w:val="both"/>
        <w:rPr>
          <w:sz w:val="16"/>
          <w:szCs w:val="16"/>
        </w:rPr>
      </w:pPr>
    </w:p>
    <w:p w14:paraId="60FC99D6" w14:textId="497A1BDD" w:rsidR="007D6162" w:rsidRPr="00380E0D" w:rsidRDefault="00362937" w:rsidP="004D2B92">
      <w:pPr>
        <w:pStyle w:val="ListParagraph"/>
        <w:numPr>
          <w:ilvl w:val="0"/>
          <w:numId w:val="1"/>
        </w:numPr>
        <w:spacing w:line="360" w:lineRule="auto"/>
        <w:jc w:val="both"/>
        <w:rPr>
          <w:sz w:val="24"/>
          <w:szCs w:val="24"/>
        </w:rPr>
      </w:pPr>
      <w:r w:rsidRPr="00380E0D">
        <w:rPr>
          <w:sz w:val="24"/>
          <w:szCs w:val="24"/>
        </w:rPr>
        <w:t>As explained below</w:t>
      </w:r>
      <w:r w:rsidR="003E54DC" w:rsidRPr="00380E0D">
        <w:rPr>
          <w:sz w:val="24"/>
          <w:szCs w:val="24"/>
        </w:rPr>
        <w:t>,</w:t>
      </w:r>
      <w:r w:rsidRPr="00380E0D">
        <w:rPr>
          <w:sz w:val="24"/>
          <w:szCs w:val="24"/>
        </w:rPr>
        <w:t xml:space="preserve"> the </w:t>
      </w:r>
      <w:r w:rsidR="00686B3A" w:rsidRPr="00380E0D">
        <w:rPr>
          <w:sz w:val="24"/>
          <w:szCs w:val="24"/>
        </w:rPr>
        <w:t>Commission’s</w:t>
      </w:r>
      <w:r w:rsidRPr="00380E0D">
        <w:rPr>
          <w:sz w:val="24"/>
          <w:szCs w:val="24"/>
        </w:rPr>
        <w:t xml:space="preserve"> longstanding view </w:t>
      </w:r>
      <w:r w:rsidR="00DF1BCB" w:rsidRPr="00380E0D">
        <w:rPr>
          <w:sz w:val="24"/>
          <w:szCs w:val="24"/>
        </w:rPr>
        <w:t xml:space="preserve">and policy position </w:t>
      </w:r>
      <w:r w:rsidRPr="00380E0D">
        <w:rPr>
          <w:sz w:val="24"/>
          <w:szCs w:val="24"/>
        </w:rPr>
        <w:t xml:space="preserve">has been that the correct </w:t>
      </w:r>
      <w:r w:rsidR="00DF1BCB" w:rsidRPr="00380E0D">
        <w:rPr>
          <w:sz w:val="24"/>
          <w:szCs w:val="24"/>
        </w:rPr>
        <w:t xml:space="preserve">understanding </w:t>
      </w:r>
      <w:r w:rsidRPr="00380E0D">
        <w:rPr>
          <w:sz w:val="24"/>
          <w:szCs w:val="24"/>
        </w:rPr>
        <w:t xml:space="preserve">of </w:t>
      </w:r>
      <w:r w:rsidR="00187072" w:rsidRPr="00380E0D">
        <w:rPr>
          <w:sz w:val="24"/>
          <w:szCs w:val="24"/>
        </w:rPr>
        <w:t>“</w:t>
      </w:r>
      <w:r w:rsidRPr="00380E0D">
        <w:rPr>
          <w:i/>
          <w:iCs/>
          <w:sz w:val="24"/>
          <w:szCs w:val="24"/>
        </w:rPr>
        <w:t>sex</w:t>
      </w:r>
      <w:r w:rsidR="00187072" w:rsidRPr="00380E0D">
        <w:rPr>
          <w:sz w:val="24"/>
          <w:szCs w:val="24"/>
        </w:rPr>
        <w:t>” and of “</w:t>
      </w:r>
      <w:r w:rsidR="00187072" w:rsidRPr="00380E0D">
        <w:rPr>
          <w:i/>
          <w:iCs/>
          <w:sz w:val="24"/>
          <w:szCs w:val="24"/>
        </w:rPr>
        <w:t>man</w:t>
      </w:r>
      <w:r w:rsidR="00187072" w:rsidRPr="00380E0D">
        <w:rPr>
          <w:sz w:val="24"/>
          <w:szCs w:val="24"/>
        </w:rPr>
        <w:t>” and “</w:t>
      </w:r>
      <w:r w:rsidR="00187072" w:rsidRPr="00380E0D">
        <w:rPr>
          <w:i/>
          <w:iCs/>
          <w:sz w:val="24"/>
          <w:szCs w:val="24"/>
        </w:rPr>
        <w:t>woman</w:t>
      </w:r>
      <w:r w:rsidR="00187072" w:rsidRPr="00380E0D">
        <w:rPr>
          <w:sz w:val="24"/>
          <w:szCs w:val="24"/>
        </w:rPr>
        <w:t>”</w:t>
      </w:r>
      <w:r w:rsidRPr="00380E0D">
        <w:rPr>
          <w:sz w:val="24"/>
          <w:szCs w:val="24"/>
        </w:rPr>
        <w:t xml:space="preserve"> in the </w:t>
      </w:r>
      <w:proofErr w:type="spellStart"/>
      <w:r w:rsidRPr="00380E0D">
        <w:rPr>
          <w:sz w:val="24"/>
          <w:szCs w:val="24"/>
        </w:rPr>
        <w:t>EqA</w:t>
      </w:r>
      <w:proofErr w:type="spellEnd"/>
      <w:r w:rsidRPr="00380E0D">
        <w:rPr>
          <w:sz w:val="24"/>
          <w:szCs w:val="24"/>
        </w:rPr>
        <w:t xml:space="preserve"> is that it includes those </w:t>
      </w:r>
      <w:r w:rsidR="00E356CE" w:rsidRPr="00380E0D">
        <w:rPr>
          <w:sz w:val="24"/>
          <w:szCs w:val="24"/>
        </w:rPr>
        <w:t>whose sex has been certified in a GRC. A</w:t>
      </w:r>
      <w:r w:rsidRPr="00380E0D">
        <w:rPr>
          <w:sz w:val="24"/>
          <w:szCs w:val="24"/>
        </w:rPr>
        <w:t xml:space="preserve"> “</w:t>
      </w:r>
      <w:r w:rsidRPr="00380E0D">
        <w:rPr>
          <w:i/>
          <w:iCs/>
          <w:sz w:val="24"/>
          <w:szCs w:val="24"/>
        </w:rPr>
        <w:t>woman</w:t>
      </w:r>
      <w:r w:rsidRPr="00380E0D">
        <w:rPr>
          <w:sz w:val="24"/>
          <w:szCs w:val="24"/>
        </w:rPr>
        <w:t xml:space="preserve">” under the </w:t>
      </w:r>
      <w:proofErr w:type="spellStart"/>
      <w:r w:rsidRPr="00380E0D">
        <w:rPr>
          <w:sz w:val="24"/>
          <w:szCs w:val="24"/>
        </w:rPr>
        <w:t>EqA</w:t>
      </w:r>
      <w:proofErr w:type="spellEnd"/>
      <w:r w:rsidRPr="00380E0D">
        <w:rPr>
          <w:sz w:val="24"/>
          <w:szCs w:val="24"/>
        </w:rPr>
        <w:t xml:space="preserve"> includes a person whose natal sex </w:t>
      </w:r>
      <w:r w:rsidR="00E356CE" w:rsidRPr="00380E0D">
        <w:rPr>
          <w:sz w:val="24"/>
          <w:szCs w:val="24"/>
        </w:rPr>
        <w:t>i</w:t>
      </w:r>
      <w:r w:rsidRPr="00380E0D">
        <w:rPr>
          <w:sz w:val="24"/>
          <w:szCs w:val="24"/>
        </w:rPr>
        <w:t>s male</w:t>
      </w:r>
      <w:r w:rsidR="00686B3A" w:rsidRPr="00380E0D">
        <w:rPr>
          <w:sz w:val="24"/>
          <w:szCs w:val="24"/>
        </w:rPr>
        <w:t>,</w:t>
      </w:r>
      <w:r w:rsidRPr="00380E0D">
        <w:rPr>
          <w:sz w:val="24"/>
          <w:szCs w:val="24"/>
        </w:rPr>
        <w:t xml:space="preserve"> but who obtained a </w:t>
      </w:r>
      <w:r w:rsidR="00D82B1B" w:rsidRPr="00380E0D">
        <w:rPr>
          <w:sz w:val="24"/>
          <w:szCs w:val="24"/>
        </w:rPr>
        <w:t xml:space="preserve">GRC </w:t>
      </w:r>
      <w:r w:rsidR="00F82E82" w:rsidRPr="00380E0D">
        <w:rPr>
          <w:sz w:val="24"/>
          <w:szCs w:val="24"/>
        </w:rPr>
        <w:t xml:space="preserve">such that they </w:t>
      </w:r>
      <w:r w:rsidR="00187072" w:rsidRPr="00380E0D">
        <w:rPr>
          <w:sz w:val="24"/>
          <w:szCs w:val="24"/>
        </w:rPr>
        <w:t xml:space="preserve">are recognised as a </w:t>
      </w:r>
      <w:r w:rsidR="00686B3A" w:rsidRPr="00380E0D">
        <w:rPr>
          <w:sz w:val="24"/>
          <w:szCs w:val="24"/>
        </w:rPr>
        <w:t>“</w:t>
      </w:r>
      <w:r w:rsidR="00187072" w:rsidRPr="00380E0D">
        <w:rPr>
          <w:i/>
          <w:iCs/>
          <w:sz w:val="24"/>
          <w:szCs w:val="24"/>
        </w:rPr>
        <w:t>woman</w:t>
      </w:r>
      <w:r w:rsidR="00686B3A" w:rsidRPr="00380E0D">
        <w:rPr>
          <w:sz w:val="24"/>
          <w:szCs w:val="24"/>
        </w:rPr>
        <w:t>”</w:t>
      </w:r>
      <w:r w:rsidR="00187072" w:rsidRPr="00380E0D">
        <w:rPr>
          <w:sz w:val="24"/>
          <w:szCs w:val="24"/>
        </w:rPr>
        <w:t xml:space="preserve"> under that Act</w:t>
      </w:r>
      <w:r w:rsidR="0010616A" w:rsidRPr="00380E0D">
        <w:rPr>
          <w:sz w:val="24"/>
          <w:szCs w:val="24"/>
        </w:rPr>
        <w:t xml:space="preserve"> (that is</w:t>
      </w:r>
      <w:r w:rsidR="003E54DC" w:rsidRPr="00380E0D">
        <w:rPr>
          <w:sz w:val="24"/>
          <w:szCs w:val="24"/>
        </w:rPr>
        <w:t>,</w:t>
      </w:r>
      <w:r w:rsidR="0010616A" w:rsidRPr="00380E0D">
        <w:rPr>
          <w:sz w:val="24"/>
          <w:szCs w:val="24"/>
        </w:rPr>
        <w:t xml:space="preserve"> the second definition)</w:t>
      </w:r>
      <w:r w:rsidR="00187072" w:rsidRPr="00380E0D">
        <w:rPr>
          <w:sz w:val="24"/>
          <w:szCs w:val="24"/>
        </w:rPr>
        <w:t xml:space="preserve">.  </w:t>
      </w:r>
      <w:r w:rsidR="004C5AEE" w:rsidRPr="00380E0D">
        <w:rPr>
          <w:sz w:val="24"/>
          <w:szCs w:val="24"/>
        </w:rPr>
        <w:t xml:space="preserve">The purpose of s.9(1) of the GRA was to create a principle of </w:t>
      </w:r>
      <w:r w:rsidR="006E26CD" w:rsidRPr="00380E0D">
        <w:rPr>
          <w:sz w:val="24"/>
          <w:szCs w:val="24"/>
        </w:rPr>
        <w:t xml:space="preserve">statutory </w:t>
      </w:r>
      <w:r w:rsidR="004C5AEE" w:rsidRPr="00380E0D">
        <w:rPr>
          <w:sz w:val="24"/>
          <w:szCs w:val="24"/>
        </w:rPr>
        <w:t>construction</w:t>
      </w:r>
      <w:r w:rsidR="006E26CD" w:rsidRPr="00380E0D">
        <w:rPr>
          <w:sz w:val="24"/>
          <w:szCs w:val="24"/>
        </w:rPr>
        <w:t xml:space="preserve">, applicable to all legislation whether passed prior or </w:t>
      </w:r>
      <w:proofErr w:type="gramStart"/>
      <w:r w:rsidR="006E26CD" w:rsidRPr="00380E0D">
        <w:rPr>
          <w:sz w:val="24"/>
          <w:szCs w:val="24"/>
        </w:rPr>
        <w:t>subsequent to</w:t>
      </w:r>
      <w:proofErr w:type="gramEnd"/>
      <w:r w:rsidR="006E26CD" w:rsidRPr="00380E0D">
        <w:rPr>
          <w:sz w:val="24"/>
          <w:szCs w:val="24"/>
        </w:rPr>
        <w:t xml:space="preserve"> the GRA (see s. 9(2)),</w:t>
      </w:r>
      <w:r w:rsidR="00280584" w:rsidRPr="00380E0D">
        <w:rPr>
          <w:sz w:val="24"/>
          <w:szCs w:val="24"/>
        </w:rPr>
        <w:t xml:space="preserve"> </w:t>
      </w:r>
      <w:r w:rsidR="004C5AEE" w:rsidRPr="00380E0D">
        <w:rPr>
          <w:sz w:val="24"/>
          <w:szCs w:val="24"/>
        </w:rPr>
        <w:t>that</w:t>
      </w:r>
      <w:r w:rsidR="006E26CD" w:rsidRPr="00380E0D">
        <w:rPr>
          <w:sz w:val="24"/>
          <w:szCs w:val="24"/>
        </w:rPr>
        <w:t xml:space="preserve"> (see s. 9(3)) </w:t>
      </w:r>
      <w:r w:rsidR="004C5AEE" w:rsidRPr="00380E0D">
        <w:rPr>
          <w:sz w:val="24"/>
          <w:szCs w:val="24"/>
        </w:rPr>
        <w:t xml:space="preserve">could be disapplied expressly or by necessary implication.  </w:t>
      </w:r>
      <w:r w:rsidR="00280584" w:rsidRPr="00380E0D">
        <w:rPr>
          <w:sz w:val="24"/>
          <w:szCs w:val="24"/>
        </w:rPr>
        <w:t>That principle applied to the Sex Discrimination Act 1975 (“</w:t>
      </w:r>
      <w:r w:rsidR="00280584" w:rsidRPr="00380E0D">
        <w:rPr>
          <w:b/>
          <w:bCs/>
          <w:sz w:val="24"/>
          <w:szCs w:val="24"/>
        </w:rPr>
        <w:t>SDA</w:t>
      </w:r>
      <w:r w:rsidR="00280584" w:rsidRPr="00380E0D">
        <w:rPr>
          <w:sz w:val="24"/>
          <w:szCs w:val="24"/>
        </w:rPr>
        <w:t xml:space="preserve">”) and was not disapplied, expressly or by </w:t>
      </w:r>
      <w:r w:rsidR="00A80D4E" w:rsidRPr="00380E0D">
        <w:rPr>
          <w:sz w:val="24"/>
          <w:szCs w:val="24"/>
        </w:rPr>
        <w:t>necessary implication</w:t>
      </w:r>
      <w:r w:rsidR="00280584" w:rsidRPr="00380E0D">
        <w:rPr>
          <w:sz w:val="24"/>
          <w:szCs w:val="24"/>
        </w:rPr>
        <w:t xml:space="preserve">, by </w:t>
      </w:r>
      <w:r w:rsidR="006E26CD" w:rsidRPr="00380E0D">
        <w:rPr>
          <w:sz w:val="24"/>
          <w:szCs w:val="24"/>
        </w:rPr>
        <w:t>the</w:t>
      </w:r>
      <w:r w:rsidR="00A80D4E" w:rsidRPr="00380E0D">
        <w:rPr>
          <w:sz w:val="24"/>
          <w:szCs w:val="24"/>
        </w:rPr>
        <w:t xml:space="preserve"> </w:t>
      </w:r>
      <w:proofErr w:type="spellStart"/>
      <w:r w:rsidR="00A80D4E" w:rsidRPr="00380E0D">
        <w:rPr>
          <w:sz w:val="24"/>
          <w:szCs w:val="24"/>
        </w:rPr>
        <w:t>EqA</w:t>
      </w:r>
      <w:proofErr w:type="spellEnd"/>
      <w:r w:rsidR="00280584" w:rsidRPr="00380E0D">
        <w:rPr>
          <w:sz w:val="24"/>
          <w:szCs w:val="24"/>
        </w:rPr>
        <w:t>, which consolidated and, so far as relevant, continued the effect of the SDA</w:t>
      </w:r>
      <w:r w:rsidR="00A80D4E" w:rsidRPr="00380E0D">
        <w:rPr>
          <w:sz w:val="24"/>
          <w:szCs w:val="24"/>
        </w:rPr>
        <w:t>.</w:t>
      </w:r>
      <w:r w:rsidR="007D6162" w:rsidRPr="00380E0D">
        <w:rPr>
          <w:rStyle w:val="FootnoteReference"/>
          <w:sz w:val="24"/>
          <w:szCs w:val="24"/>
        </w:rPr>
        <w:footnoteReference w:id="2"/>
      </w:r>
    </w:p>
    <w:p w14:paraId="55A69F4D" w14:textId="77777777" w:rsidR="007D6162" w:rsidRPr="00536BFF" w:rsidRDefault="007D6162" w:rsidP="00187C39">
      <w:pPr>
        <w:pStyle w:val="ListParagraph"/>
        <w:rPr>
          <w:sz w:val="16"/>
          <w:szCs w:val="16"/>
        </w:rPr>
      </w:pPr>
    </w:p>
    <w:p w14:paraId="40763CCB" w14:textId="3D9F5069" w:rsidR="005E51A1" w:rsidRPr="00536BFF" w:rsidRDefault="00120D55" w:rsidP="004D2B92">
      <w:pPr>
        <w:pStyle w:val="ListParagraph"/>
        <w:numPr>
          <w:ilvl w:val="0"/>
          <w:numId w:val="1"/>
        </w:numPr>
        <w:spacing w:line="360" w:lineRule="auto"/>
        <w:jc w:val="both"/>
        <w:rPr>
          <w:sz w:val="24"/>
          <w:szCs w:val="24"/>
        </w:rPr>
      </w:pPr>
      <w:r w:rsidRPr="00380E0D">
        <w:rPr>
          <w:sz w:val="24"/>
          <w:szCs w:val="24"/>
        </w:rPr>
        <w:t>That is not to say that the</w:t>
      </w:r>
      <w:r w:rsidR="00280584" w:rsidRPr="00380E0D">
        <w:rPr>
          <w:sz w:val="24"/>
          <w:szCs w:val="24"/>
        </w:rPr>
        <w:t xml:space="preserve"> central</w:t>
      </w:r>
      <w:r w:rsidRPr="00380E0D">
        <w:rPr>
          <w:sz w:val="24"/>
          <w:szCs w:val="24"/>
        </w:rPr>
        <w:t xml:space="preserve"> </w:t>
      </w:r>
      <w:r w:rsidR="00A80D4E" w:rsidRPr="00380E0D">
        <w:rPr>
          <w:sz w:val="24"/>
          <w:szCs w:val="24"/>
        </w:rPr>
        <w:t>issue</w:t>
      </w:r>
      <w:r w:rsidR="007D6162" w:rsidRPr="00380E0D">
        <w:rPr>
          <w:sz w:val="24"/>
          <w:szCs w:val="24"/>
        </w:rPr>
        <w:t xml:space="preserve"> of statutory interpretation raised by this appeal is</w:t>
      </w:r>
      <w:r w:rsidR="00A80D4E" w:rsidRPr="00380E0D">
        <w:rPr>
          <w:sz w:val="24"/>
          <w:szCs w:val="24"/>
        </w:rPr>
        <w:t xml:space="preserve"> straightforward</w:t>
      </w:r>
      <w:r w:rsidR="00A1095D" w:rsidRPr="00380E0D">
        <w:rPr>
          <w:sz w:val="24"/>
          <w:szCs w:val="24"/>
        </w:rPr>
        <w:t>.</w:t>
      </w:r>
      <w:r w:rsidR="00280584" w:rsidRPr="00380E0D">
        <w:rPr>
          <w:sz w:val="24"/>
          <w:szCs w:val="24"/>
        </w:rPr>
        <w:t xml:space="preserve"> On </w:t>
      </w:r>
      <w:r w:rsidR="00181349" w:rsidRPr="00380E0D">
        <w:rPr>
          <w:sz w:val="24"/>
          <w:szCs w:val="24"/>
        </w:rPr>
        <w:t>the contrary</w:t>
      </w:r>
      <w:r w:rsidR="00280584" w:rsidRPr="00380E0D">
        <w:rPr>
          <w:sz w:val="24"/>
          <w:szCs w:val="24"/>
        </w:rPr>
        <w:t>, the Appellant has highlighted a number of significant difficulties</w:t>
      </w:r>
      <w:r w:rsidR="00D553E9" w:rsidRPr="00380E0D">
        <w:rPr>
          <w:sz w:val="24"/>
          <w:szCs w:val="24"/>
        </w:rPr>
        <w:t xml:space="preserve">, </w:t>
      </w:r>
      <w:r w:rsidR="00280584" w:rsidRPr="00380E0D">
        <w:rPr>
          <w:sz w:val="24"/>
          <w:szCs w:val="24"/>
        </w:rPr>
        <w:t xml:space="preserve">tensions </w:t>
      </w:r>
      <w:r w:rsidR="00D553E9" w:rsidRPr="00380E0D">
        <w:rPr>
          <w:sz w:val="24"/>
          <w:szCs w:val="24"/>
        </w:rPr>
        <w:t xml:space="preserve">and apparent </w:t>
      </w:r>
      <w:r w:rsidR="003C0BD5" w:rsidRPr="00380E0D">
        <w:rPr>
          <w:sz w:val="24"/>
          <w:szCs w:val="24"/>
        </w:rPr>
        <w:t>inconsistencies</w:t>
      </w:r>
      <w:r w:rsidR="00D553E9" w:rsidRPr="00380E0D">
        <w:rPr>
          <w:sz w:val="24"/>
          <w:szCs w:val="24"/>
        </w:rPr>
        <w:t xml:space="preserve"> </w:t>
      </w:r>
      <w:r w:rsidR="00280584" w:rsidRPr="00380E0D">
        <w:rPr>
          <w:sz w:val="24"/>
          <w:szCs w:val="24"/>
        </w:rPr>
        <w:t xml:space="preserve">which are created by the second </w:t>
      </w:r>
      <w:proofErr w:type="gramStart"/>
      <w:r w:rsidR="00280584" w:rsidRPr="00380E0D">
        <w:rPr>
          <w:sz w:val="24"/>
          <w:szCs w:val="24"/>
        </w:rPr>
        <w:t>definition</w:t>
      </w:r>
      <w:proofErr w:type="gramEnd"/>
      <w:r w:rsidR="00320FEB">
        <w:rPr>
          <w:sz w:val="24"/>
          <w:szCs w:val="24"/>
        </w:rPr>
        <w:t xml:space="preserve"> and which seriously compromise the practical application of the </w:t>
      </w:r>
      <w:proofErr w:type="spellStart"/>
      <w:r w:rsidR="00320FEB">
        <w:rPr>
          <w:sz w:val="24"/>
          <w:szCs w:val="24"/>
        </w:rPr>
        <w:t>EqA</w:t>
      </w:r>
      <w:proofErr w:type="spellEnd"/>
      <w:r w:rsidR="005C5D09" w:rsidRPr="00380E0D">
        <w:rPr>
          <w:sz w:val="24"/>
          <w:szCs w:val="24"/>
        </w:rPr>
        <w:t xml:space="preserve">. </w:t>
      </w:r>
      <w:r w:rsidR="00C53A39" w:rsidRPr="00380E0D">
        <w:rPr>
          <w:sz w:val="24"/>
          <w:szCs w:val="24"/>
        </w:rPr>
        <w:t xml:space="preserve">The </w:t>
      </w:r>
      <w:r w:rsidR="00E0729A" w:rsidRPr="00380E0D">
        <w:rPr>
          <w:sz w:val="24"/>
          <w:szCs w:val="24"/>
        </w:rPr>
        <w:t>Commission</w:t>
      </w:r>
      <w:r w:rsidR="00C53A39" w:rsidRPr="00380E0D">
        <w:rPr>
          <w:sz w:val="24"/>
          <w:szCs w:val="24"/>
        </w:rPr>
        <w:t xml:space="preserve"> </w:t>
      </w:r>
      <w:r w:rsidR="00543B28" w:rsidRPr="00380E0D">
        <w:rPr>
          <w:sz w:val="24"/>
          <w:szCs w:val="24"/>
        </w:rPr>
        <w:t>addresses</w:t>
      </w:r>
      <w:r w:rsidR="00C53A39" w:rsidRPr="00380E0D">
        <w:rPr>
          <w:sz w:val="24"/>
          <w:szCs w:val="24"/>
        </w:rPr>
        <w:t xml:space="preserve"> </w:t>
      </w:r>
      <w:r w:rsidR="00005240" w:rsidRPr="00380E0D">
        <w:rPr>
          <w:sz w:val="24"/>
          <w:szCs w:val="24"/>
        </w:rPr>
        <w:t xml:space="preserve">some </w:t>
      </w:r>
      <w:r w:rsidR="00C53A39" w:rsidRPr="00380E0D">
        <w:rPr>
          <w:sz w:val="24"/>
          <w:szCs w:val="24"/>
        </w:rPr>
        <w:t xml:space="preserve">particular problems created by the </w:t>
      </w:r>
      <w:r w:rsidR="00970783" w:rsidRPr="00380E0D">
        <w:rPr>
          <w:sz w:val="24"/>
          <w:szCs w:val="24"/>
        </w:rPr>
        <w:t xml:space="preserve">second </w:t>
      </w:r>
      <w:r w:rsidR="00C53A39" w:rsidRPr="00380E0D">
        <w:rPr>
          <w:sz w:val="24"/>
          <w:szCs w:val="24"/>
        </w:rPr>
        <w:t xml:space="preserve">definition </w:t>
      </w:r>
      <w:r w:rsidR="00C27135" w:rsidRPr="00380E0D">
        <w:rPr>
          <w:sz w:val="24"/>
          <w:szCs w:val="24"/>
        </w:rPr>
        <w:t>below</w:t>
      </w:r>
      <w:r w:rsidR="00E62005" w:rsidRPr="00380E0D">
        <w:rPr>
          <w:sz w:val="24"/>
          <w:szCs w:val="24"/>
        </w:rPr>
        <w:t xml:space="preserve"> at §§</w:t>
      </w:r>
      <w:r w:rsidR="004C5AEE" w:rsidRPr="00380E0D">
        <w:rPr>
          <w:sz w:val="24"/>
          <w:szCs w:val="24"/>
        </w:rPr>
        <w:fldChar w:fldCharType="begin"/>
      </w:r>
      <w:r w:rsidR="004C5AEE" w:rsidRPr="00380E0D">
        <w:rPr>
          <w:sz w:val="24"/>
          <w:szCs w:val="24"/>
        </w:rPr>
        <w:instrText xml:space="preserve"> REF _Ref179832419 \r \h </w:instrText>
      </w:r>
      <w:r w:rsidR="006556E8" w:rsidRPr="00380E0D">
        <w:rPr>
          <w:sz w:val="24"/>
          <w:szCs w:val="24"/>
        </w:rPr>
        <w:instrText xml:space="preserve"> \* MERGEFORMAT </w:instrText>
      </w:r>
      <w:r w:rsidR="004C5AEE" w:rsidRPr="00380E0D">
        <w:rPr>
          <w:sz w:val="24"/>
          <w:szCs w:val="24"/>
        </w:rPr>
      </w:r>
      <w:r w:rsidR="004C5AEE" w:rsidRPr="00380E0D">
        <w:rPr>
          <w:sz w:val="24"/>
          <w:szCs w:val="24"/>
        </w:rPr>
        <w:fldChar w:fldCharType="separate"/>
      </w:r>
      <w:r w:rsidR="00CB63E8">
        <w:rPr>
          <w:sz w:val="24"/>
          <w:szCs w:val="24"/>
        </w:rPr>
        <w:t>31</w:t>
      </w:r>
      <w:r w:rsidR="004C5AEE" w:rsidRPr="00380E0D">
        <w:rPr>
          <w:sz w:val="24"/>
          <w:szCs w:val="24"/>
        </w:rPr>
        <w:fldChar w:fldCharType="end"/>
      </w:r>
      <w:r w:rsidR="004C5AEE" w:rsidRPr="00380E0D">
        <w:rPr>
          <w:sz w:val="24"/>
          <w:szCs w:val="24"/>
        </w:rPr>
        <w:t>-</w:t>
      </w:r>
      <w:r w:rsidR="003C0BD5" w:rsidRPr="00380E0D">
        <w:rPr>
          <w:sz w:val="24"/>
          <w:szCs w:val="24"/>
        </w:rPr>
        <w:fldChar w:fldCharType="begin"/>
      </w:r>
      <w:r w:rsidR="003C0BD5" w:rsidRPr="00380E0D">
        <w:rPr>
          <w:sz w:val="24"/>
          <w:szCs w:val="24"/>
        </w:rPr>
        <w:instrText xml:space="preserve"> REF _Ref180435854 \r \h </w:instrText>
      </w:r>
      <w:r w:rsidR="00380E0D" w:rsidRPr="00380E0D">
        <w:rPr>
          <w:sz w:val="24"/>
          <w:szCs w:val="24"/>
        </w:rPr>
        <w:instrText xml:space="preserve"> \* MERGEFORMAT </w:instrText>
      </w:r>
      <w:r w:rsidR="003C0BD5" w:rsidRPr="00380E0D">
        <w:rPr>
          <w:sz w:val="24"/>
          <w:szCs w:val="24"/>
        </w:rPr>
      </w:r>
      <w:r w:rsidR="003C0BD5" w:rsidRPr="00380E0D">
        <w:rPr>
          <w:sz w:val="24"/>
          <w:szCs w:val="24"/>
        </w:rPr>
        <w:fldChar w:fldCharType="separate"/>
      </w:r>
      <w:r w:rsidR="00CB63E8">
        <w:rPr>
          <w:sz w:val="24"/>
          <w:szCs w:val="24"/>
        </w:rPr>
        <w:t>46</w:t>
      </w:r>
      <w:r w:rsidR="003C0BD5" w:rsidRPr="00380E0D">
        <w:rPr>
          <w:sz w:val="24"/>
          <w:szCs w:val="24"/>
        </w:rPr>
        <w:fldChar w:fldCharType="end"/>
      </w:r>
      <w:r w:rsidR="007D6162" w:rsidRPr="00380E0D">
        <w:rPr>
          <w:sz w:val="24"/>
          <w:szCs w:val="24"/>
        </w:rPr>
        <w:t>.</w:t>
      </w:r>
      <w:r w:rsidR="005E51A1" w:rsidRPr="00380E0D">
        <w:rPr>
          <w:sz w:val="24"/>
          <w:szCs w:val="24"/>
        </w:rPr>
        <w:t xml:space="preserve"> </w:t>
      </w:r>
      <w:r w:rsidR="003C0BD5" w:rsidRPr="00380E0D">
        <w:rPr>
          <w:sz w:val="24"/>
          <w:szCs w:val="24"/>
        </w:rPr>
        <w:t xml:space="preserve">These include, but are not limited to, a </w:t>
      </w:r>
      <w:r w:rsidR="008E0652" w:rsidRPr="00380E0D">
        <w:rPr>
          <w:sz w:val="24"/>
          <w:szCs w:val="24"/>
        </w:rPr>
        <w:t>notable</w:t>
      </w:r>
      <w:r w:rsidR="003C0BD5" w:rsidRPr="00380E0D">
        <w:rPr>
          <w:sz w:val="24"/>
          <w:szCs w:val="24"/>
        </w:rPr>
        <w:t xml:space="preserve"> inconsistency in the rights of same sex attracted persons</w:t>
      </w:r>
      <w:r w:rsidR="008E0652" w:rsidRPr="00380E0D">
        <w:rPr>
          <w:sz w:val="24"/>
          <w:szCs w:val="24"/>
        </w:rPr>
        <w:t>, when compared with other protected char</w:t>
      </w:r>
      <w:r w:rsidR="00005240" w:rsidRPr="00380E0D">
        <w:rPr>
          <w:sz w:val="24"/>
          <w:szCs w:val="24"/>
        </w:rPr>
        <w:t>a</w:t>
      </w:r>
      <w:r w:rsidR="008E0652" w:rsidRPr="00380E0D">
        <w:rPr>
          <w:sz w:val="24"/>
          <w:szCs w:val="24"/>
        </w:rPr>
        <w:t>cteristics</w:t>
      </w:r>
      <w:r w:rsidR="003C0BD5" w:rsidRPr="00380E0D">
        <w:rPr>
          <w:sz w:val="24"/>
          <w:szCs w:val="24"/>
        </w:rPr>
        <w:t xml:space="preserve"> (particularly </w:t>
      </w:r>
      <w:proofErr w:type="gramStart"/>
      <w:r w:rsidR="003C0BD5" w:rsidRPr="00380E0D">
        <w:rPr>
          <w:sz w:val="24"/>
          <w:szCs w:val="24"/>
        </w:rPr>
        <w:t>with regard to</w:t>
      </w:r>
      <w:proofErr w:type="gramEnd"/>
      <w:r w:rsidR="003C0BD5" w:rsidRPr="00380E0D">
        <w:rPr>
          <w:sz w:val="24"/>
          <w:szCs w:val="24"/>
        </w:rPr>
        <w:t xml:space="preserve"> the formation of associations), and the challenges faced by</w:t>
      </w:r>
      <w:r w:rsidR="00005240" w:rsidRPr="00380E0D">
        <w:rPr>
          <w:sz w:val="24"/>
          <w:szCs w:val="24"/>
        </w:rPr>
        <w:t xml:space="preserve"> those who wish to maintain </w:t>
      </w:r>
      <w:r w:rsidR="003C0BD5" w:rsidRPr="00380E0D">
        <w:rPr>
          <w:sz w:val="24"/>
          <w:szCs w:val="24"/>
        </w:rPr>
        <w:t>single sex spaces aimed at protecting the safety and</w:t>
      </w:r>
      <w:r w:rsidR="00005240" w:rsidRPr="00380E0D">
        <w:rPr>
          <w:sz w:val="24"/>
          <w:szCs w:val="24"/>
        </w:rPr>
        <w:t>/or</w:t>
      </w:r>
      <w:r w:rsidR="003C0BD5" w:rsidRPr="00380E0D">
        <w:rPr>
          <w:sz w:val="24"/>
          <w:szCs w:val="24"/>
        </w:rPr>
        <w:t xml:space="preserve"> dignity of women. </w:t>
      </w:r>
      <w:r w:rsidR="00181349" w:rsidRPr="00380E0D">
        <w:rPr>
          <w:sz w:val="24"/>
          <w:szCs w:val="24"/>
        </w:rPr>
        <w:t xml:space="preserve"> Notwithstanding these difficulties, tensions and apparent inconsistencies, the Commission considers it unavoidable that Parliament intended, at the time of passing the GRA and then the </w:t>
      </w:r>
      <w:proofErr w:type="spellStart"/>
      <w:r w:rsidR="00181349" w:rsidRPr="00380E0D">
        <w:rPr>
          <w:sz w:val="24"/>
          <w:szCs w:val="24"/>
        </w:rPr>
        <w:t>EqA</w:t>
      </w:r>
      <w:proofErr w:type="spellEnd"/>
      <w:r w:rsidR="00181349" w:rsidRPr="00380E0D">
        <w:rPr>
          <w:sz w:val="24"/>
          <w:szCs w:val="24"/>
        </w:rPr>
        <w:t xml:space="preserve">, that a GRC would have the effect of changing a person’s sex for the purposes of the application of the </w:t>
      </w:r>
      <w:proofErr w:type="spellStart"/>
      <w:r w:rsidR="00181349" w:rsidRPr="00380E0D">
        <w:rPr>
          <w:sz w:val="24"/>
          <w:szCs w:val="24"/>
        </w:rPr>
        <w:lastRenderedPageBreak/>
        <w:t>EqA</w:t>
      </w:r>
      <w:proofErr w:type="spellEnd"/>
      <w:r w:rsidR="00181349" w:rsidRPr="00380E0D">
        <w:rPr>
          <w:sz w:val="24"/>
          <w:szCs w:val="24"/>
        </w:rPr>
        <w:t xml:space="preserve">. However, the Commission also considers that that outcome impairs the proper functioning of aspects of the </w:t>
      </w:r>
      <w:proofErr w:type="spellStart"/>
      <w:r w:rsidR="00181349" w:rsidRPr="00380E0D">
        <w:rPr>
          <w:sz w:val="24"/>
          <w:szCs w:val="24"/>
        </w:rPr>
        <w:t>EqA</w:t>
      </w:r>
      <w:proofErr w:type="spellEnd"/>
      <w:r w:rsidR="00181349" w:rsidRPr="00380E0D">
        <w:rPr>
          <w:sz w:val="24"/>
          <w:szCs w:val="24"/>
        </w:rPr>
        <w:t xml:space="preserve"> and has the potential to jeopardise the rights and interests of women</w:t>
      </w:r>
      <w:r w:rsidR="00380E0D" w:rsidRPr="00380E0D">
        <w:rPr>
          <w:sz w:val="24"/>
          <w:szCs w:val="24"/>
        </w:rPr>
        <w:t>, not least given changes in the social landscape since 2004.</w:t>
      </w:r>
      <w:r w:rsidR="00181349" w:rsidRPr="00380E0D">
        <w:rPr>
          <w:sz w:val="24"/>
          <w:szCs w:val="24"/>
        </w:rPr>
        <w:t xml:space="preserve">  </w:t>
      </w:r>
      <w:r w:rsidR="003C0BD5" w:rsidRPr="00380E0D">
        <w:rPr>
          <w:sz w:val="24"/>
          <w:szCs w:val="24"/>
        </w:rPr>
        <w:t xml:space="preserve">  </w:t>
      </w:r>
      <w:r w:rsidR="00320FEB">
        <w:rPr>
          <w:sz w:val="24"/>
          <w:szCs w:val="24"/>
        </w:rPr>
        <w:t xml:space="preserve">This is a wholly unsatisfactory </w:t>
      </w:r>
      <w:proofErr w:type="gramStart"/>
      <w:r w:rsidR="00320FEB">
        <w:rPr>
          <w:sz w:val="24"/>
          <w:szCs w:val="24"/>
        </w:rPr>
        <w:t>state of affairs</w:t>
      </w:r>
      <w:proofErr w:type="gramEnd"/>
      <w:r w:rsidR="00320FEB">
        <w:rPr>
          <w:sz w:val="24"/>
          <w:szCs w:val="24"/>
        </w:rPr>
        <w:t>.  However, i</w:t>
      </w:r>
      <w:r w:rsidR="00320FEB" w:rsidRPr="00380E0D">
        <w:rPr>
          <w:sz w:val="24"/>
          <w:szCs w:val="24"/>
        </w:rPr>
        <w:t>t</w:t>
      </w:r>
      <w:r w:rsidR="007D6162" w:rsidRPr="00380E0D">
        <w:rPr>
          <w:sz w:val="24"/>
          <w:szCs w:val="24"/>
        </w:rPr>
        <w:t xml:space="preserve"> is the proper constitutional role of Parliament to resolve these issues to the extent and in the way that it considers appropriate (see </w:t>
      </w:r>
      <w:r w:rsidR="007D6162" w:rsidRPr="00380E0D">
        <w:rPr>
          <w:i/>
          <w:iCs/>
          <w:sz w:val="24"/>
          <w:szCs w:val="24"/>
          <w:u w:val="single"/>
        </w:rPr>
        <w:t xml:space="preserve">R (on the application of Elan-Cane) v Secretary of State for the Home Department </w:t>
      </w:r>
      <w:r w:rsidR="007D6162" w:rsidRPr="00380E0D">
        <w:rPr>
          <w:sz w:val="24"/>
          <w:szCs w:val="24"/>
        </w:rPr>
        <w:t xml:space="preserve">[2021] UKSC 56 [2023] AC 559 </w:t>
      </w:r>
      <w:r w:rsidR="007D6162" w:rsidRPr="00380E0D">
        <w:rPr>
          <w:i/>
          <w:iCs/>
          <w:sz w:val="24"/>
          <w:szCs w:val="24"/>
        </w:rPr>
        <w:t>per</w:t>
      </w:r>
      <w:r w:rsidR="007D6162" w:rsidRPr="00380E0D">
        <w:rPr>
          <w:sz w:val="24"/>
          <w:szCs w:val="24"/>
        </w:rPr>
        <w:t xml:space="preserve"> Lord Reed PSC at §61</w:t>
      </w:r>
      <w:r w:rsidR="00325766" w:rsidRPr="00C54D23">
        <w:rPr>
          <w:color w:val="FF0000"/>
          <w:sz w:val="24"/>
          <w:szCs w:val="24"/>
        </w:rPr>
        <w:t>[</w:t>
      </w:r>
      <w:r w:rsidR="00C54D23" w:rsidRPr="00C54D23">
        <w:rPr>
          <w:color w:val="FF0000"/>
          <w:sz w:val="24"/>
          <w:szCs w:val="24"/>
        </w:rPr>
        <w:t>EF.</w:t>
      </w:r>
      <w:r w:rsidR="00C54D23">
        <w:rPr>
          <w:color w:val="FF0000"/>
          <w:sz w:val="24"/>
          <w:szCs w:val="24"/>
        </w:rPr>
        <w:t>22</w:t>
      </w:r>
      <w:r w:rsidR="002F335A">
        <w:rPr>
          <w:color w:val="FF0000"/>
          <w:sz w:val="24"/>
          <w:szCs w:val="24"/>
        </w:rPr>
        <w:t>35</w:t>
      </w:r>
      <w:r w:rsidR="00325766" w:rsidRPr="00C54D23">
        <w:rPr>
          <w:color w:val="FF0000"/>
          <w:sz w:val="24"/>
          <w:szCs w:val="24"/>
        </w:rPr>
        <w:t>]</w:t>
      </w:r>
      <w:r w:rsidR="00005240" w:rsidRPr="00380E0D">
        <w:rPr>
          <w:sz w:val="24"/>
          <w:szCs w:val="24"/>
        </w:rPr>
        <w:t>)</w:t>
      </w:r>
      <w:r w:rsidR="007D6162" w:rsidRPr="00380E0D">
        <w:rPr>
          <w:sz w:val="24"/>
          <w:szCs w:val="24"/>
        </w:rPr>
        <w:t xml:space="preserve">.  </w:t>
      </w:r>
      <w:r w:rsidR="004867AD" w:rsidRPr="00380E0D">
        <w:rPr>
          <w:sz w:val="24"/>
          <w:szCs w:val="24"/>
        </w:rPr>
        <w:t>In its letter</w:t>
      </w:r>
      <w:r w:rsidR="004D28A9" w:rsidRPr="00380E0D">
        <w:rPr>
          <w:sz w:val="24"/>
          <w:szCs w:val="24"/>
        </w:rPr>
        <w:t xml:space="preserve"> to the Minister for Women and Equalities</w:t>
      </w:r>
      <w:r w:rsidR="004867AD" w:rsidRPr="00380E0D">
        <w:rPr>
          <w:sz w:val="24"/>
          <w:szCs w:val="24"/>
        </w:rPr>
        <w:t xml:space="preserve"> of 3 April 2023</w:t>
      </w:r>
      <w:r w:rsidR="004D28A9" w:rsidRPr="00380E0D">
        <w:rPr>
          <w:sz w:val="24"/>
          <w:szCs w:val="24"/>
        </w:rPr>
        <w:t xml:space="preserve"> (“</w:t>
      </w:r>
      <w:r w:rsidR="004D28A9" w:rsidRPr="00380E0D">
        <w:rPr>
          <w:b/>
          <w:bCs/>
          <w:sz w:val="24"/>
          <w:szCs w:val="24"/>
        </w:rPr>
        <w:t>the 3 April Letter</w:t>
      </w:r>
      <w:r w:rsidR="004D28A9" w:rsidRPr="00380E0D">
        <w:rPr>
          <w:sz w:val="24"/>
          <w:szCs w:val="24"/>
        </w:rPr>
        <w:t xml:space="preserve">” </w:t>
      </w:r>
      <w:r w:rsidR="004D28A9" w:rsidRPr="00325766">
        <w:rPr>
          <w:color w:val="FF0000"/>
          <w:sz w:val="24"/>
          <w:szCs w:val="24"/>
        </w:rPr>
        <w:t>[</w:t>
      </w:r>
      <w:r w:rsidR="00325766" w:rsidRPr="00325766">
        <w:rPr>
          <w:color w:val="FF0000"/>
          <w:sz w:val="24"/>
          <w:szCs w:val="24"/>
        </w:rPr>
        <w:t>EF.6</w:t>
      </w:r>
      <w:r w:rsidR="002F335A">
        <w:rPr>
          <w:color w:val="FF0000"/>
          <w:sz w:val="24"/>
          <w:szCs w:val="24"/>
        </w:rPr>
        <w:t>86</w:t>
      </w:r>
      <w:r w:rsidR="004D28A9" w:rsidRPr="00325766">
        <w:rPr>
          <w:color w:val="FF0000"/>
          <w:sz w:val="24"/>
          <w:szCs w:val="24"/>
        </w:rPr>
        <w:t>]</w:t>
      </w:r>
      <w:r w:rsidR="004D28A9" w:rsidRPr="00380E0D">
        <w:rPr>
          <w:sz w:val="24"/>
          <w:szCs w:val="24"/>
        </w:rPr>
        <w:t>)</w:t>
      </w:r>
      <w:r w:rsidR="004867AD" w:rsidRPr="00380E0D">
        <w:rPr>
          <w:sz w:val="24"/>
          <w:szCs w:val="24"/>
        </w:rPr>
        <w:t xml:space="preserve">, the Commission recommended </w:t>
      </w:r>
      <w:r w:rsidR="004867AD" w:rsidRPr="00536BFF">
        <w:rPr>
          <w:sz w:val="24"/>
          <w:szCs w:val="24"/>
        </w:rPr>
        <w:t xml:space="preserve">careful consideration of the </w:t>
      </w:r>
      <w:proofErr w:type="spellStart"/>
      <w:r w:rsidR="004867AD" w:rsidRPr="00536BFF">
        <w:rPr>
          <w:sz w:val="24"/>
          <w:szCs w:val="24"/>
        </w:rPr>
        <w:t>EqA</w:t>
      </w:r>
      <w:proofErr w:type="spellEnd"/>
      <w:r w:rsidR="004867AD" w:rsidRPr="00536BFF">
        <w:rPr>
          <w:sz w:val="24"/>
          <w:szCs w:val="24"/>
        </w:rPr>
        <w:t xml:space="preserve"> in order</w:t>
      </w:r>
      <w:r w:rsidR="004867AD" w:rsidRPr="00536BFF">
        <w:rPr>
          <w:i/>
          <w:sz w:val="24"/>
          <w:szCs w:val="24"/>
        </w:rPr>
        <w:t xml:space="preserve">, </w:t>
      </w:r>
      <w:r w:rsidR="004867AD" w:rsidRPr="00536BFF">
        <w:rPr>
          <w:i/>
          <w:iCs/>
          <w:sz w:val="24"/>
          <w:szCs w:val="24"/>
        </w:rPr>
        <w:t>inter alia</w:t>
      </w:r>
      <w:r w:rsidR="004867AD" w:rsidRPr="00536BFF">
        <w:rPr>
          <w:sz w:val="24"/>
          <w:szCs w:val="24"/>
        </w:rPr>
        <w:t>,</w:t>
      </w:r>
      <w:r w:rsidR="004867AD" w:rsidRPr="00536BFF">
        <w:rPr>
          <w:i/>
          <w:iCs/>
          <w:sz w:val="24"/>
          <w:szCs w:val="24"/>
        </w:rPr>
        <w:t xml:space="preserve"> </w:t>
      </w:r>
      <w:r w:rsidR="004867AD" w:rsidRPr="00536BFF">
        <w:rPr>
          <w:sz w:val="24"/>
          <w:szCs w:val="24"/>
        </w:rPr>
        <w:t>to</w:t>
      </w:r>
      <w:r w:rsidR="006F2D78" w:rsidRPr="00536BFF">
        <w:rPr>
          <w:sz w:val="24"/>
          <w:szCs w:val="24"/>
        </w:rPr>
        <w:t xml:space="preserve"> </w:t>
      </w:r>
      <w:r w:rsidR="004867AD" w:rsidRPr="00536BFF">
        <w:rPr>
          <w:sz w:val="24"/>
          <w:szCs w:val="24"/>
        </w:rPr>
        <w:t xml:space="preserve">address </w:t>
      </w:r>
      <w:r w:rsidR="00181349" w:rsidRPr="00536BFF">
        <w:rPr>
          <w:sz w:val="24"/>
          <w:szCs w:val="24"/>
        </w:rPr>
        <w:t xml:space="preserve">some of </w:t>
      </w:r>
      <w:r w:rsidR="004867AD" w:rsidRPr="00536BFF">
        <w:rPr>
          <w:sz w:val="24"/>
          <w:szCs w:val="24"/>
        </w:rPr>
        <w:t>the</w:t>
      </w:r>
      <w:r w:rsidR="00380E0D" w:rsidRPr="00536BFF">
        <w:rPr>
          <w:sz w:val="24"/>
          <w:szCs w:val="24"/>
        </w:rPr>
        <w:t xml:space="preserve"> same problems in the functioning of the </w:t>
      </w:r>
      <w:proofErr w:type="spellStart"/>
      <w:r w:rsidR="00380E0D" w:rsidRPr="00536BFF">
        <w:rPr>
          <w:sz w:val="24"/>
          <w:szCs w:val="24"/>
        </w:rPr>
        <w:t>EqA</w:t>
      </w:r>
      <w:proofErr w:type="spellEnd"/>
      <w:r w:rsidR="00005240" w:rsidRPr="00536BFF">
        <w:rPr>
          <w:sz w:val="24"/>
          <w:szCs w:val="24"/>
        </w:rPr>
        <w:t xml:space="preserve"> as </w:t>
      </w:r>
      <w:r w:rsidR="00380E0D" w:rsidRPr="00536BFF">
        <w:rPr>
          <w:sz w:val="24"/>
          <w:szCs w:val="24"/>
        </w:rPr>
        <w:t>are</w:t>
      </w:r>
      <w:r w:rsidR="004867AD" w:rsidRPr="00536BFF">
        <w:rPr>
          <w:sz w:val="24"/>
          <w:szCs w:val="24"/>
        </w:rPr>
        <w:t xml:space="preserve"> highlighted by this appeal.</w:t>
      </w:r>
    </w:p>
    <w:p w14:paraId="35894D27" w14:textId="3C810E8D" w:rsidR="00C53A39" w:rsidRPr="00536BFF" w:rsidRDefault="00E62005" w:rsidP="00280584">
      <w:pPr>
        <w:rPr>
          <w:sz w:val="24"/>
          <w:szCs w:val="24"/>
        </w:rPr>
      </w:pPr>
      <w:r w:rsidRPr="00536BFF">
        <w:rPr>
          <w:sz w:val="24"/>
          <w:szCs w:val="24"/>
        </w:rPr>
        <w:t xml:space="preserve"> </w:t>
      </w:r>
      <w:r w:rsidR="004D2B92" w:rsidRPr="00536BFF">
        <w:rPr>
          <w:sz w:val="24"/>
          <w:szCs w:val="24"/>
        </w:rPr>
        <w:t xml:space="preserve"> </w:t>
      </w:r>
    </w:p>
    <w:p w14:paraId="4E2F7957" w14:textId="0C151990" w:rsidR="00A22FFE" w:rsidRPr="00536BFF" w:rsidRDefault="00CF1E4E" w:rsidP="000738E6">
      <w:pPr>
        <w:pStyle w:val="Heading1"/>
        <w:rPr>
          <w:rFonts w:ascii="Garamond" w:hAnsi="Garamond"/>
          <w:sz w:val="24"/>
          <w:szCs w:val="24"/>
        </w:rPr>
      </w:pPr>
      <w:r w:rsidRPr="00536BFF">
        <w:rPr>
          <w:rFonts w:ascii="Garamond" w:hAnsi="Garamond"/>
          <w:sz w:val="24"/>
          <w:szCs w:val="24"/>
        </w:rPr>
        <w:t>B</w:t>
      </w:r>
      <w:r w:rsidR="000738E6" w:rsidRPr="00536BFF">
        <w:rPr>
          <w:rFonts w:ascii="Garamond" w:hAnsi="Garamond"/>
          <w:sz w:val="24"/>
          <w:szCs w:val="24"/>
        </w:rPr>
        <w:t xml:space="preserve">: </w:t>
      </w:r>
      <w:r w:rsidR="000738E6" w:rsidRPr="00536BFF">
        <w:rPr>
          <w:rFonts w:ascii="Garamond" w:hAnsi="Garamond"/>
          <w:sz w:val="24"/>
          <w:szCs w:val="24"/>
        </w:rPr>
        <w:tab/>
        <w:t xml:space="preserve"> ON LANGUAGE </w:t>
      </w:r>
    </w:p>
    <w:p w14:paraId="1D7BBE3C" w14:textId="6889A9F6" w:rsidR="00A22FFE" w:rsidRPr="00380E0D" w:rsidRDefault="00A22FFE" w:rsidP="00A22FFE">
      <w:pPr>
        <w:pStyle w:val="ListParagraph"/>
        <w:numPr>
          <w:ilvl w:val="0"/>
          <w:numId w:val="1"/>
        </w:numPr>
        <w:spacing w:line="360" w:lineRule="auto"/>
        <w:jc w:val="both"/>
        <w:rPr>
          <w:sz w:val="24"/>
          <w:szCs w:val="24"/>
        </w:rPr>
      </w:pPr>
      <w:r w:rsidRPr="00536BFF">
        <w:rPr>
          <w:sz w:val="24"/>
          <w:szCs w:val="24"/>
        </w:rPr>
        <w:t xml:space="preserve">Language </w:t>
      </w:r>
      <w:r w:rsidR="00E0699B" w:rsidRPr="00536BFF">
        <w:rPr>
          <w:sz w:val="24"/>
          <w:szCs w:val="24"/>
        </w:rPr>
        <w:t>develops and</w:t>
      </w:r>
      <w:r w:rsidRPr="00536BFF">
        <w:rPr>
          <w:sz w:val="24"/>
          <w:szCs w:val="24"/>
        </w:rPr>
        <w:t xml:space="preserve"> has developed in this context in recent years with </w:t>
      </w:r>
      <w:proofErr w:type="gramStart"/>
      <w:r w:rsidRPr="00536BFF">
        <w:rPr>
          <w:sz w:val="24"/>
          <w:szCs w:val="24"/>
        </w:rPr>
        <w:t>particular speed</w:t>
      </w:r>
      <w:proofErr w:type="gramEnd"/>
      <w:r w:rsidRPr="00536BFF">
        <w:rPr>
          <w:sz w:val="24"/>
          <w:szCs w:val="24"/>
        </w:rPr>
        <w:t>.  Terms which were considered acceptable and appropriate, such as “</w:t>
      </w:r>
      <w:r w:rsidRPr="00536BFF">
        <w:rPr>
          <w:i/>
          <w:iCs/>
          <w:sz w:val="24"/>
          <w:szCs w:val="24"/>
        </w:rPr>
        <w:t>transsexual</w:t>
      </w:r>
      <w:r w:rsidRPr="00536BFF">
        <w:rPr>
          <w:sz w:val="24"/>
          <w:szCs w:val="24"/>
        </w:rPr>
        <w:t>”</w:t>
      </w:r>
      <w:r w:rsidR="006B2C0C" w:rsidRPr="00536BFF">
        <w:rPr>
          <w:sz w:val="24"/>
          <w:szCs w:val="24"/>
        </w:rPr>
        <w:t>,</w:t>
      </w:r>
      <w:r w:rsidRPr="00536BFF">
        <w:rPr>
          <w:sz w:val="24"/>
          <w:szCs w:val="24"/>
        </w:rPr>
        <w:t xml:space="preserve"> are now in some circles</w:t>
      </w:r>
      <w:r w:rsidRPr="00380E0D">
        <w:rPr>
          <w:sz w:val="24"/>
          <w:szCs w:val="24"/>
        </w:rPr>
        <w:t xml:space="preserve"> avoided as derogatory and inaccurate, to be replaced by others</w:t>
      </w:r>
      <w:r w:rsidR="00CF1E4E" w:rsidRPr="00380E0D">
        <w:rPr>
          <w:sz w:val="24"/>
          <w:szCs w:val="24"/>
        </w:rPr>
        <w:t xml:space="preserve"> (</w:t>
      </w:r>
      <w:r w:rsidRPr="00380E0D">
        <w:rPr>
          <w:sz w:val="24"/>
          <w:szCs w:val="24"/>
        </w:rPr>
        <w:t>“</w:t>
      </w:r>
      <w:r w:rsidRPr="00380E0D">
        <w:rPr>
          <w:i/>
          <w:iCs/>
          <w:sz w:val="24"/>
          <w:szCs w:val="24"/>
        </w:rPr>
        <w:t>transgender</w:t>
      </w:r>
      <w:r w:rsidRPr="00380E0D">
        <w:rPr>
          <w:sz w:val="24"/>
          <w:szCs w:val="24"/>
        </w:rPr>
        <w:t>”</w:t>
      </w:r>
      <w:r w:rsidR="00CF1E4E" w:rsidRPr="00380E0D">
        <w:rPr>
          <w:sz w:val="24"/>
          <w:szCs w:val="24"/>
        </w:rPr>
        <w:t>)</w:t>
      </w:r>
      <w:r w:rsidRPr="00380E0D">
        <w:rPr>
          <w:sz w:val="24"/>
          <w:szCs w:val="24"/>
        </w:rPr>
        <w:t>.  As the debate has shifted, so has language, to attempt to make sense of and describe properly and fairly</w:t>
      </w:r>
      <w:r w:rsidR="006B2C0C">
        <w:rPr>
          <w:sz w:val="24"/>
          <w:szCs w:val="24"/>
        </w:rPr>
        <w:t>,</w:t>
      </w:r>
      <w:r w:rsidR="00727917" w:rsidRPr="00380E0D">
        <w:rPr>
          <w:sz w:val="24"/>
          <w:szCs w:val="24"/>
        </w:rPr>
        <w:t xml:space="preserve"> changing</w:t>
      </w:r>
      <w:r w:rsidRPr="00380E0D">
        <w:rPr>
          <w:sz w:val="24"/>
          <w:szCs w:val="24"/>
        </w:rPr>
        <w:t xml:space="preserve"> circumstances</w:t>
      </w:r>
      <w:r w:rsidR="00727917" w:rsidRPr="00380E0D">
        <w:rPr>
          <w:sz w:val="24"/>
          <w:szCs w:val="24"/>
        </w:rPr>
        <w:t xml:space="preserve"> in society</w:t>
      </w:r>
      <w:r w:rsidRPr="00380E0D">
        <w:rPr>
          <w:sz w:val="24"/>
          <w:szCs w:val="24"/>
        </w:rPr>
        <w:t xml:space="preserve">.   </w:t>
      </w:r>
      <w:r w:rsidR="00727917" w:rsidRPr="00380E0D">
        <w:rPr>
          <w:sz w:val="24"/>
          <w:szCs w:val="24"/>
        </w:rPr>
        <w:t>T</w:t>
      </w:r>
      <w:r w:rsidRPr="00380E0D">
        <w:rPr>
          <w:sz w:val="24"/>
          <w:szCs w:val="24"/>
        </w:rPr>
        <w:t xml:space="preserve">he </w:t>
      </w:r>
      <w:r w:rsidR="00727917" w:rsidRPr="00380E0D">
        <w:rPr>
          <w:sz w:val="24"/>
          <w:szCs w:val="24"/>
        </w:rPr>
        <w:t xml:space="preserve">Court’s choice of </w:t>
      </w:r>
      <w:r w:rsidRPr="00380E0D">
        <w:rPr>
          <w:sz w:val="24"/>
          <w:szCs w:val="24"/>
        </w:rPr>
        <w:t xml:space="preserve">language </w:t>
      </w:r>
      <w:r w:rsidR="00727917" w:rsidRPr="00380E0D">
        <w:rPr>
          <w:sz w:val="24"/>
          <w:szCs w:val="24"/>
        </w:rPr>
        <w:t xml:space="preserve">is important, both to those immediately </w:t>
      </w:r>
      <w:r w:rsidR="00CF1E4E" w:rsidRPr="00380E0D">
        <w:rPr>
          <w:sz w:val="24"/>
          <w:szCs w:val="24"/>
        </w:rPr>
        <w:t xml:space="preserve">affected </w:t>
      </w:r>
      <w:r w:rsidR="00727917" w:rsidRPr="00380E0D">
        <w:rPr>
          <w:sz w:val="24"/>
          <w:szCs w:val="24"/>
        </w:rPr>
        <w:t xml:space="preserve">by the issues raised on this appeal, </w:t>
      </w:r>
      <w:r w:rsidRPr="00380E0D">
        <w:rPr>
          <w:sz w:val="24"/>
          <w:szCs w:val="24"/>
        </w:rPr>
        <w:t xml:space="preserve">in terms of how they describe themselves and how they are described, </w:t>
      </w:r>
      <w:proofErr w:type="gramStart"/>
      <w:r w:rsidRPr="00380E0D">
        <w:rPr>
          <w:sz w:val="24"/>
          <w:szCs w:val="24"/>
        </w:rPr>
        <w:t xml:space="preserve">and </w:t>
      </w:r>
      <w:r w:rsidR="00727917" w:rsidRPr="00380E0D">
        <w:rPr>
          <w:sz w:val="24"/>
          <w:szCs w:val="24"/>
        </w:rPr>
        <w:t>also</w:t>
      </w:r>
      <w:proofErr w:type="gramEnd"/>
      <w:r w:rsidR="00727917" w:rsidRPr="00380E0D">
        <w:rPr>
          <w:sz w:val="24"/>
          <w:szCs w:val="24"/>
        </w:rPr>
        <w:t xml:space="preserve"> so as to </w:t>
      </w:r>
      <w:r w:rsidRPr="00380E0D">
        <w:rPr>
          <w:sz w:val="24"/>
          <w:szCs w:val="24"/>
        </w:rPr>
        <w:t>ensure</w:t>
      </w:r>
      <w:r w:rsidR="00727917" w:rsidRPr="00380E0D">
        <w:rPr>
          <w:sz w:val="24"/>
          <w:szCs w:val="24"/>
        </w:rPr>
        <w:t xml:space="preserve"> so far as possible</w:t>
      </w:r>
      <w:r w:rsidRPr="00380E0D">
        <w:rPr>
          <w:sz w:val="24"/>
          <w:szCs w:val="24"/>
        </w:rPr>
        <w:t xml:space="preserve"> that the</w:t>
      </w:r>
      <w:r w:rsidR="00727917" w:rsidRPr="00380E0D">
        <w:rPr>
          <w:sz w:val="24"/>
          <w:szCs w:val="24"/>
        </w:rPr>
        <w:t xml:space="preserve"> terms of the Court’s judgment</w:t>
      </w:r>
      <w:r w:rsidRPr="00380E0D">
        <w:rPr>
          <w:sz w:val="24"/>
          <w:szCs w:val="24"/>
        </w:rPr>
        <w:t xml:space="preserve"> clarif</w:t>
      </w:r>
      <w:r w:rsidR="00727917" w:rsidRPr="00380E0D">
        <w:rPr>
          <w:sz w:val="24"/>
          <w:szCs w:val="24"/>
        </w:rPr>
        <w:t xml:space="preserve">y, </w:t>
      </w:r>
      <w:r w:rsidRPr="00380E0D">
        <w:rPr>
          <w:sz w:val="24"/>
          <w:szCs w:val="24"/>
        </w:rPr>
        <w:t>explain</w:t>
      </w:r>
      <w:r w:rsidR="00A80D4E" w:rsidRPr="00380E0D">
        <w:rPr>
          <w:sz w:val="24"/>
          <w:szCs w:val="24"/>
        </w:rPr>
        <w:t xml:space="preserve"> and create certainty</w:t>
      </w:r>
      <w:r w:rsidR="00727917" w:rsidRPr="00380E0D">
        <w:rPr>
          <w:sz w:val="24"/>
          <w:szCs w:val="24"/>
        </w:rPr>
        <w:t xml:space="preserve"> in the law</w:t>
      </w:r>
      <w:r w:rsidRPr="00380E0D">
        <w:rPr>
          <w:sz w:val="24"/>
          <w:szCs w:val="24"/>
        </w:rPr>
        <w:t xml:space="preserve">.  </w:t>
      </w:r>
    </w:p>
    <w:p w14:paraId="2F3DCF07" w14:textId="77777777" w:rsidR="00A22FFE" w:rsidRPr="00536BFF" w:rsidRDefault="00A22FFE" w:rsidP="00A22FFE">
      <w:pPr>
        <w:pStyle w:val="ListParagraph"/>
        <w:spacing w:line="360" w:lineRule="auto"/>
        <w:jc w:val="both"/>
        <w:rPr>
          <w:sz w:val="16"/>
          <w:szCs w:val="16"/>
        </w:rPr>
      </w:pPr>
    </w:p>
    <w:p w14:paraId="5C6B5F73" w14:textId="26E5C70E" w:rsidR="00A22FFE" w:rsidRPr="00380E0D" w:rsidRDefault="00A22FFE" w:rsidP="002679EE">
      <w:pPr>
        <w:pStyle w:val="ListParagraph"/>
        <w:numPr>
          <w:ilvl w:val="0"/>
          <w:numId w:val="1"/>
        </w:numPr>
        <w:spacing w:line="360" w:lineRule="auto"/>
        <w:jc w:val="both"/>
        <w:rPr>
          <w:sz w:val="24"/>
          <w:szCs w:val="24"/>
        </w:rPr>
      </w:pPr>
      <w:r w:rsidRPr="00380E0D">
        <w:rPr>
          <w:sz w:val="24"/>
          <w:szCs w:val="24"/>
        </w:rPr>
        <w:t xml:space="preserve">The terms ‘sex’ and ‘gender’ have historically been used interchangeably. In these submissions the words are given the meaning explained by </w:t>
      </w:r>
      <w:r w:rsidR="005C2C8D" w:rsidRPr="00380E0D">
        <w:rPr>
          <w:sz w:val="24"/>
          <w:szCs w:val="24"/>
        </w:rPr>
        <w:t xml:space="preserve">Lord Reed PSC in </w:t>
      </w:r>
      <w:r w:rsidR="005C2C8D" w:rsidRPr="00380E0D">
        <w:rPr>
          <w:i/>
          <w:iCs/>
          <w:sz w:val="24"/>
          <w:szCs w:val="24"/>
          <w:u w:val="single"/>
        </w:rPr>
        <w:t>Elan-Cane</w:t>
      </w:r>
      <w:r w:rsidR="00CF1E4E" w:rsidRPr="00380E0D">
        <w:rPr>
          <w:sz w:val="24"/>
          <w:szCs w:val="24"/>
        </w:rPr>
        <w:t xml:space="preserve"> a</w:t>
      </w:r>
      <w:r w:rsidR="005C2C8D" w:rsidRPr="00380E0D">
        <w:rPr>
          <w:sz w:val="24"/>
          <w:szCs w:val="24"/>
        </w:rPr>
        <w:t>t §3: “</w:t>
      </w:r>
      <w:r w:rsidR="005C2C8D" w:rsidRPr="00380E0D">
        <w:rPr>
          <w:i/>
          <w:iCs/>
          <w:sz w:val="24"/>
          <w:szCs w:val="24"/>
        </w:rPr>
        <w:t>the term “gender” is used in this context to describe an individual’s feelings or choice of sexual identity, in distinction to the concept of “sex”, associated with the idea of biological differences which are generally binary and immutable</w:t>
      </w:r>
      <w:r w:rsidR="005C2C8D" w:rsidRPr="00380E0D">
        <w:rPr>
          <w:sz w:val="24"/>
          <w:szCs w:val="24"/>
        </w:rPr>
        <w:t>.”</w:t>
      </w:r>
      <w:r w:rsidR="00325766">
        <w:rPr>
          <w:sz w:val="24"/>
          <w:szCs w:val="24"/>
        </w:rPr>
        <w:t xml:space="preserve"> </w:t>
      </w:r>
      <w:r w:rsidR="00325766" w:rsidRPr="008155E8">
        <w:rPr>
          <w:color w:val="FF0000"/>
          <w:sz w:val="24"/>
          <w:szCs w:val="24"/>
        </w:rPr>
        <w:t>[</w:t>
      </w:r>
      <w:r w:rsidR="008155E8" w:rsidRPr="008155E8">
        <w:rPr>
          <w:color w:val="FF0000"/>
          <w:sz w:val="24"/>
          <w:szCs w:val="24"/>
        </w:rPr>
        <w:t>EF</w:t>
      </w:r>
      <w:r w:rsidR="002D33BD">
        <w:rPr>
          <w:color w:val="FF0000"/>
          <w:sz w:val="24"/>
          <w:szCs w:val="24"/>
        </w:rPr>
        <w:t>.22</w:t>
      </w:r>
      <w:r w:rsidR="002F335A">
        <w:rPr>
          <w:color w:val="FF0000"/>
          <w:sz w:val="24"/>
          <w:szCs w:val="24"/>
        </w:rPr>
        <w:t>21</w:t>
      </w:r>
      <w:r w:rsidR="00325766" w:rsidRPr="008155E8">
        <w:rPr>
          <w:color w:val="FF0000"/>
          <w:sz w:val="24"/>
          <w:szCs w:val="24"/>
        </w:rPr>
        <w:t>]</w:t>
      </w:r>
      <w:r w:rsidR="002679EE" w:rsidRPr="00380E0D">
        <w:rPr>
          <w:sz w:val="24"/>
          <w:szCs w:val="24"/>
        </w:rPr>
        <w:t xml:space="preserve"> </w:t>
      </w:r>
      <w:r w:rsidR="00A80D4E" w:rsidRPr="00380E0D">
        <w:rPr>
          <w:sz w:val="24"/>
          <w:szCs w:val="24"/>
        </w:rPr>
        <w:t>These submissions also adopt the</w:t>
      </w:r>
      <w:r w:rsidRPr="00380E0D">
        <w:rPr>
          <w:sz w:val="24"/>
          <w:szCs w:val="24"/>
        </w:rPr>
        <w:t xml:space="preserve"> phrase </w:t>
      </w:r>
      <w:r w:rsidR="005C2C8D" w:rsidRPr="00380E0D">
        <w:rPr>
          <w:sz w:val="24"/>
          <w:szCs w:val="24"/>
        </w:rPr>
        <w:t>“</w:t>
      </w:r>
      <w:r w:rsidRPr="00380E0D">
        <w:rPr>
          <w:i/>
          <w:sz w:val="24"/>
          <w:szCs w:val="24"/>
        </w:rPr>
        <w:t>natal sex</w:t>
      </w:r>
      <w:r w:rsidR="005C2C8D" w:rsidRPr="00380E0D">
        <w:rPr>
          <w:sz w:val="24"/>
          <w:szCs w:val="24"/>
        </w:rPr>
        <w:t>”</w:t>
      </w:r>
      <w:r w:rsidRPr="00380E0D">
        <w:rPr>
          <w:sz w:val="24"/>
          <w:szCs w:val="24"/>
        </w:rPr>
        <w:t xml:space="preserve"> used by Choudh</w:t>
      </w:r>
      <w:r w:rsidR="007A26D7" w:rsidRPr="00380E0D">
        <w:rPr>
          <w:sz w:val="24"/>
          <w:szCs w:val="24"/>
        </w:rPr>
        <w:t>u</w:t>
      </w:r>
      <w:r w:rsidRPr="00380E0D">
        <w:rPr>
          <w:sz w:val="24"/>
          <w:szCs w:val="24"/>
        </w:rPr>
        <w:t>ry</w:t>
      </w:r>
      <w:r w:rsidR="00E62005" w:rsidRPr="00380E0D">
        <w:rPr>
          <w:sz w:val="24"/>
          <w:szCs w:val="24"/>
        </w:rPr>
        <w:t xml:space="preserve"> P</w:t>
      </w:r>
      <w:r w:rsidRPr="00380E0D">
        <w:rPr>
          <w:sz w:val="24"/>
          <w:szCs w:val="24"/>
        </w:rPr>
        <w:t xml:space="preserve"> in </w:t>
      </w:r>
      <w:proofErr w:type="spellStart"/>
      <w:r w:rsidRPr="00380E0D">
        <w:rPr>
          <w:i/>
          <w:sz w:val="24"/>
          <w:szCs w:val="24"/>
          <w:u w:val="single"/>
        </w:rPr>
        <w:t>Forst</w:t>
      </w:r>
      <w:r w:rsidR="00224304" w:rsidRPr="00380E0D">
        <w:rPr>
          <w:i/>
          <w:sz w:val="24"/>
          <w:szCs w:val="24"/>
          <w:u w:val="single"/>
        </w:rPr>
        <w:t>a</w:t>
      </w:r>
      <w:r w:rsidRPr="00380E0D">
        <w:rPr>
          <w:i/>
          <w:sz w:val="24"/>
          <w:szCs w:val="24"/>
          <w:u w:val="single"/>
        </w:rPr>
        <w:t>ter</w:t>
      </w:r>
      <w:proofErr w:type="spellEnd"/>
      <w:r w:rsidRPr="00380E0D">
        <w:rPr>
          <w:sz w:val="24"/>
          <w:szCs w:val="24"/>
        </w:rPr>
        <w:t xml:space="preserve"> to </w:t>
      </w:r>
      <w:r w:rsidR="005C2C8D" w:rsidRPr="00380E0D">
        <w:rPr>
          <w:sz w:val="24"/>
          <w:szCs w:val="24"/>
        </w:rPr>
        <w:t xml:space="preserve">refer to </w:t>
      </w:r>
      <w:r w:rsidRPr="00380E0D">
        <w:rPr>
          <w:sz w:val="24"/>
          <w:szCs w:val="24"/>
        </w:rPr>
        <w:t>the sex</w:t>
      </w:r>
      <w:r w:rsidR="005C2C8D" w:rsidRPr="00380E0D">
        <w:rPr>
          <w:sz w:val="24"/>
          <w:szCs w:val="24"/>
        </w:rPr>
        <w:t xml:space="preserve"> which </w:t>
      </w:r>
      <w:r w:rsidR="009D5DB6" w:rsidRPr="00380E0D">
        <w:rPr>
          <w:sz w:val="24"/>
          <w:szCs w:val="24"/>
        </w:rPr>
        <w:t xml:space="preserve">was recorded on </w:t>
      </w:r>
      <w:r w:rsidRPr="00380E0D">
        <w:rPr>
          <w:sz w:val="24"/>
          <w:szCs w:val="24"/>
        </w:rPr>
        <w:t>a person</w:t>
      </w:r>
      <w:r w:rsidR="009D5DB6" w:rsidRPr="00380E0D">
        <w:rPr>
          <w:sz w:val="24"/>
          <w:szCs w:val="24"/>
        </w:rPr>
        <w:t>’s</w:t>
      </w:r>
      <w:r w:rsidRPr="00380E0D">
        <w:rPr>
          <w:sz w:val="24"/>
          <w:szCs w:val="24"/>
        </w:rPr>
        <w:t xml:space="preserve"> birth certificate</w:t>
      </w:r>
      <w:r w:rsidR="00A80D4E" w:rsidRPr="00380E0D">
        <w:rPr>
          <w:sz w:val="24"/>
          <w:szCs w:val="24"/>
        </w:rPr>
        <w:t>.</w:t>
      </w:r>
      <w:r w:rsidR="00E1532D" w:rsidRPr="00380E0D">
        <w:rPr>
          <w:sz w:val="24"/>
          <w:szCs w:val="24"/>
        </w:rPr>
        <w:t xml:space="preserve"> </w:t>
      </w:r>
      <w:r w:rsidR="00A80D4E" w:rsidRPr="00380E0D">
        <w:rPr>
          <w:sz w:val="24"/>
          <w:szCs w:val="24"/>
        </w:rPr>
        <w:t xml:space="preserve"> W</w:t>
      </w:r>
      <w:r w:rsidRPr="00380E0D">
        <w:rPr>
          <w:sz w:val="24"/>
          <w:szCs w:val="24"/>
        </w:rPr>
        <w:t>here necessary</w:t>
      </w:r>
      <w:r w:rsidR="005C2C8D" w:rsidRPr="00380E0D">
        <w:rPr>
          <w:sz w:val="24"/>
          <w:szCs w:val="24"/>
        </w:rPr>
        <w:t>,</w:t>
      </w:r>
      <w:r w:rsidRPr="00380E0D">
        <w:rPr>
          <w:sz w:val="24"/>
          <w:szCs w:val="24"/>
        </w:rPr>
        <w:t xml:space="preserve"> the term “</w:t>
      </w:r>
      <w:r w:rsidRPr="00380E0D">
        <w:rPr>
          <w:i/>
          <w:sz w:val="24"/>
          <w:szCs w:val="24"/>
        </w:rPr>
        <w:t>certified sex</w:t>
      </w:r>
      <w:r w:rsidRPr="00380E0D">
        <w:rPr>
          <w:sz w:val="24"/>
          <w:szCs w:val="24"/>
        </w:rPr>
        <w:t xml:space="preserve">” </w:t>
      </w:r>
      <w:r w:rsidR="00A80D4E" w:rsidRPr="00380E0D">
        <w:rPr>
          <w:sz w:val="24"/>
          <w:szCs w:val="24"/>
        </w:rPr>
        <w:t xml:space="preserve">is used </w:t>
      </w:r>
      <w:r w:rsidRPr="00380E0D">
        <w:rPr>
          <w:sz w:val="24"/>
          <w:szCs w:val="24"/>
        </w:rPr>
        <w:t xml:space="preserve">to refer to the sex that a person is certified as having after being granted a GRC under the GRA.  </w:t>
      </w:r>
    </w:p>
    <w:p w14:paraId="1E399F83" w14:textId="77777777" w:rsidR="00A22FFE" w:rsidRPr="00536BFF" w:rsidRDefault="00A22FFE" w:rsidP="00A22FFE">
      <w:pPr>
        <w:pStyle w:val="ListParagraph"/>
        <w:spacing w:line="360" w:lineRule="auto"/>
        <w:jc w:val="both"/>
        <w:rPr>
          <w:sz w:val="16"/>
          <w:szCs w:val="16"/>
        </w:rPr>
      </w:pPr>
    </w:p>
    <w:p w14:paraId="23A92B2D" w14:textId="49EB8759" w:rsidR="00A22FFE" w:rsidRPr="00536BFF" w:rsidRDefault="00A22FFE" w:rsidP="00224304">
      <w:pPr>
        <w:pStyle w:val="ListParagraph"/>
        <w:numPr>
          <w:ilvl w:val="0"/>
          <w:numId w:val="1"/>
        </w:numPr>
        <w:spacing w:line="360" w:lineRule="auto"/>
        <w:jc w:val="both"/>
        <w:rPr>
          <w:i/>
          <w:iCs/>
          <w:sz w:val="24"/>
          <w:szCs w:val="24"/>
          <w:u w:val="single"/>
        </w:rPr>
      </w:pPr>
      <w:r w:rsidRPr="00380E0D">
        <w:rPr>
          <w:sz w:val="24"/>
          <w:szCs w:val="24"/>
        </w:rPr>
        <w:t>As to the term “</w:t>
      </w:r>
      <w:r w:rsidRPr="00380E0D">
        <w:rPr>
          <w:i/>
          <w:iCs/>
          <w:sz w:val="24"/>
          <w:szCs w:val="24"/>
        </w:rPr>
        <w:t>transgender</w:t>
      </w:r>
      <w:r w:rsidRPr="00380E0D">
        <w:rPr>
          <w:sz w:val="24"/>
          <w:szCs w:val="24"/>
        </w:rPr>
        <w:t>” the</w:t>
      </w:r>
      <w:r w:rsidR="006F2D78" w:rsidRPr="00380E0D">
        <w:rPr>
          <w:sz w:val="24"/>
          <w:szCs w:val="24"/>
        </w:rPr>
        <w:t>se submissions adopt the</w:t>
      </w:r>
      <w:r w:rsidRPr="00380E0D">
        <w:rPr>
          <w:sz w:val="24"/>
          <w:szCs w:val="24"/>
        </w:rPr>
        <w:t xml:space="preserve"> </w:t>
      </w:r>
      <w:r w:rsidR="006F2D78" w:rsidRPr="00380E0D">
        <w:rPr>
          <w:sz w:val="24"/>
          <w:szCs w:val="24"/>
        </w:rPr>
        <w:t>definition provided by Lord Reed PSC at</w:t>
      </w:r>
      <w:r w:rsidR="005C2C8D" w:rsidRPr="00380E0D">
        <w:rPr>
          <w:sz w:val="24"/>
          <w:szCs w:val="24"/>
        </w:rPr>
        <w:t xml:space="preserve"> §</w:t>
      </w:r>
      <w:r w:rsidR="006F2D78" w:rsidRPr="00380E0D">
        <w:rPr>
          <w:sz w:val="24"/>
          <w:szCs w:val="24"/>
        </w:rPr>
        <w:t xml:space="preserve">7 in </w:t>
      </w:r>
      <w:r w:rsidR="006F2D78" w:rsidRPr="00FB40E9">
        <w:rPr>
          <w:i/>
          <w:iCs/>
          <w:sz w:val="24"/>
          <w:szCs w:val="24"/>
          <w:u w:val="single"/>
        </w:rPr>
        <w:t>Elan-Cane</w:t>
      </w:r>
      <w:r w:rsidRPr="00380E0D">
        <w:rPr>
          <w:sz w:val="24"/>
          <w:szCs w:val="24"/>
        </w:rPr>
        <w:t>: “</w:t>
      </w:r>
      <w:r w:rsidR="006F2D78" w:rsidRPr="00FB40E9">
        <w:rPr>
          <w:i/>
          <w:iCs/>
          <w:sz w:val="24"/>
          <w:szCs w:val="24"/>
        </w:rPr>
        <w:t>i</w:t>
      </w:r>
      <w:r w:rsidR="006F2D78" w:rsidRPr="00380E0D">
        <w:rPr>
          <w:i/>
          <w:iCs/>
          <w:sz w:val="24"/>
          <w:szCs w:val="24"/>
        </w:rPr>
        <w:t>t describes those individuals who have acquired a gender, either male or female, which is different from the one recorded at birth</w:t>
      </w:r>
      <w:r w:rsidRPr="00380E0D">
        <w:rPr>
          <w:sz w:val="24"/>
          <w:szCs w:val="24"/>
        </w:rPr>
        <w:t>”</w:t>
      </w:r>
      <w:r w:rsidR="00325766">
        <w:rPr>
          <w:sz w:val="24"/>
          <w:szCs w:val="24"/>
        </w:rPr>
        <w:t xml:space="preserve"> </w:t>
      </w:r>
      <w:r w:rsidR="00325766" w:rsidRPr="008155E8">
        <w:rPr>
          <w:color w:val="FF0000"/>
          <w:sz w:val="24"/>
          <w:szCs w:val="24"/>
        </w:rPr>
        <w:t>[</w:t>
      </w:r>
      <w:r w:rsidR="008155E8" w:rsidRPr="008155E8">
        <w:rPr>
          <w:color w:val="FF0000"/>
          <w:sz w:val="24"/>
          <w:szCs w:val="24"/>
        </w:rPr>
        <w:t>EF</w:t>
      </w:r>
      <w:r w:rsidR="002D33BD">
        <w:rPr>
          <w:color w:val="FF0000"/>
          <w:sz w:val="24"/>
          <w:szCs w:val="24"/>
        </w:rPr>
        <w:t>.</w:t>
      </w:r>
      <w:r w:rsidR="002D33BD" w:rsidRPr="002D33BD">
        <w:rPr>
          <w:color w:val="FF0000"/>
          <w:sz w:val="24"/>
          <w:szCs w:val="24"/>
        </w:rPr>
        <w:t>22</w:t>
      </w:r>
      <w:r w:rsidR="002F335A">
        <w:rPr>
          <w:color w:val="FF0000"/>
          <w:sz w:val="24"/>
          <w:szCs w:val="24"/>
        </w:rPr>
        <w:t>22</w:t>
      </w:r>
      <w:r w:rsidR="00325766" w:rsidRPr="008155E8">
        <w:rPr>
          <w:color w:val="FF0000"/>
          <w:sz w:val="24"/>
          <w:szCs w:val="24"/>
        </w:rPr>
        <w:t>]</w:t>
      </w:r>
      <w:r w:rsidRPr="00380E0D">
        <w:rPr>
          <w:sz w:val="24"/>
          <w:szCs w:val="24"/>
        </w:rPr>
        <w:t xml:space="preserve">.  A person who identifies as transgender, and indeed a person who has a GRC, may have </w:t>
      </w:r>
      <w:proofErr w:type="gramStart"/>
      <w:r w:rsidRPr="00380E0D">
        <w:rPr>
          <w:sz w:val="24"/>
          <w:szCs w:val="24"/>
        </w:rPr>
        <w:t>all of</w:t>
      </w:r>
      <w:proofErr w:type="gramEnd"/>
      <w:r w:rsidRPr="00380E0D">
        <w:rPr>
          <w:sz w:val="24"/>
          <w:szCs w:val="24"/>
        </w:rPr>
        <w:t xml:space="preserve"> the biological and physical characteristics associated with someone of their natal sex</w:t>
      </w:r>
      <w:r w:rsidR="005C2C8D" w:rsidRPr="00380E0D">
        <w:rPr>
          <w:sz w:val="24"/>
          <w:szCs w:val="24"/>
        </w:rPr>
        <w:t>.  T</w:t>
      </w:r>
      <w:r w:rsidRPr="00380E0D">
        <w:rPr>
          <w:sz w:val="24"/>
          <w:szCs w:val="24"/>
        </w:rPr>
        <w:t xml:space="preserve">here is no expectation that they have undergone </w:t>
      </w:r>
      <w:r w:rsidRPr="00380E0D">
        <w:rPr>
          <w:sz w:val="24"/>
          <w:szCs w:val="24"/>
        </w:rPr>
        <w:lastRenderedPageBreak/>
        <w:t xml:space="preserve">any medical or surgical process </w:t>
      </w:r>
      <w:r w:rsidR="00A40309" w:rsidRPr="00380E0D">
        <w:rPr>
          <w:sz w:val="24"/>
          <w:szCs w:val="24"/>
        </w:rPr>
        <w:t xml:space="preserve">before they </w:t>
      </w:r>
      <w:proofErr w:type="gramStart"/>
      <w:r w:rsidR="002679EE" w:rsidRPr="00380E0D">
        <w:rPr>
          <w:sz w:val="24"/>
          <w:szCs w:val="24"/>
        </w:rPr>
        <w:t>are</w:t>
      </w:r>
      <w:r w:rsidR="00A40309" w:rsidRPr="00380E0D">
        <w:rPr>
          <w:sz w:val="24"/>
          <w:szCs w:val="24"/>
        </w:rPr>
        <w:t xml:space="preserve"> considered to </w:t>
      </w:r>
      <w:r w:rsidRPr="00380E0D">
        <w:rPr>
          <w:sz w:val="24"/>
          <w:szCs w:val="24"/>
        </w:rPr>
        <w:t>be</w:t>
      </w:r>
      <w:proofErr w:type="gramEnd"/>
      <w:r w:rsidRPr="00380E0D">
        <w:rPr>
          <w:sz w:val="24"/>
          <w:szCs w:val="24"/>
        </w:rPr>
        <w:t xml:space="preserve"> a transgender person and </w:t>
      </w:r>
      <w:r w:rsidR="00B56167" w:rsidRPr="00380E0D">
        <w:rPr>
          <w:sz w:val="24"/>
          <w:szCs w:val="24"/>
        </w:rPr>
        <w:t>to have</w:t>
      </w:r>
      <w:r w:rsidRPr="00380E0D">
        <w:rPr>
          <w:sz w:val="24"/>
          <w:szCs w:val="24"/>
        </w:rPr>
        <w:t xml:space="preserve"> the protected characteristic of gender reassignment</w:t>
      </w:r>
      <w:r w:rsidR="009353D2" w:rsidRPr="00380E0D">
        <w:rPr>
          <w:sz w:val="24"/>
          <w:szCs w:val="24"/>
        </w:rPr>
        <w:t xml:space="preserve"> under s.</w:t>
      </w:r>
      <w:r w:rsidR="00A40309" w:rsidRPr="00380E0D">
        <w:rPr>
          <w:sz w:val="24"/>
          <w:szCs w:val="24"/>
        </w:rPr>
        <w:t xml:space="preserve"> </w:t>
      </w:r>
      <w:r w:rsidR="009353D2" w:rsidRPr="00380E0D">
        <w:rPr>
          <w:sz w:val="24"/>
          <w:szCs w:val="24"/>
        </w:rPr>
        <w:t>7</w:t>
      </w:r>
      <w:r w:rsidR="00A40309" w:rsidRPr="00380E0D">
        <w:rPr>
          <w:sz w:val="24"/>
          <w:szCs w:val="24"/>
        </w:rPr>
        <w:t>(1)</w:t>
      </w:r>
      <w:r w:rsidR="009353D2" w:rsidRPr="00380E0D">
        <w:rPr>
          <w:sz w:val="24"/>
          <w:szCs w:val="24"/>
        </w:rPr>
        <w:t xml:space="preserve"> </w:t>
      </w:r>
      <w:proofErr w:type="spellStart"/>
      <w:r w:rsidR="009353D2" w:rsidRPr="00380E0D">
        <w:rPr>
          <w:sz w:val="24"/>
          <w:szCs w:val="24"/>
        </w:rPr>
        <w:t>EqA</w:t>
      </w:r>
      <w:proofErr w:type="spellEnd"/>
      <w:r w:rsidRPr="00380E0D">
        <w:rPr>
          <w:sz w:val="24"/>
          <w:szCs w:val="24"/>
        </w:rPr>
        <w:t>.</w:t>
      </w:r>
      <w:r w:rsidR="00A40309" w:rsidRPr="00380E0D">
        <w:rPr>
          <w:rStyle w:val="FootnoteReference"/>
          <w:sz w:val="24"/>
          <w:szCs w:val="24"/>
        </w:rPr>
        <w:footnoteReference w:id="3"/>
      </w:r>
      <w:r w:rsidRPr="00380E0D">
        <w:rPr>
          <w:sz w:val="24"/>
          <w:szCs w:val="24"/>
        </w:rPr>
        <w:t xml:space="preserve">  </w:t>
      </w:r>
      <w:r w:rsidR="00B56167" w:rsidRPr="00380E0D">
        <w:rPr>
          <w:sz w:val="24"/>
          <w:szCs w:val="24"/>
        </w:rPr>
        <w:t>In these submissions,</w:t>
      </w:r>
      <w:r w:rsidR="00597268" w:rsidRPr="00380E0D">
        <w:rPr>
          <w:sz w:val="24"/>
          <w:szCs w:val="24"/>
        </w:rPr>
        <w:t xml:space="preserve"> </w:t>
      </w:r>
      <w:r w:rsidR="00B56167" w:rsidRPr="00536BFF">
        <w:rPr>
          <w:sz w:val="24"/>
          <w:szCs w:val="24"/>
        </w:rPr>
        <w:t xml:space="preserve">the </w:t>
      </w:r>
      <w:r w:rsidR="00597268" w:rsidRPr="00536BFF">
        <w:rPr>
          <w:sz w:val="24"/>
          <w:szCs w:val="24"/>
        </w:rPr>
        <w:t>term “</w:t>
      </w:r>
      <w:r w:rsidR="00597268" w:rsidRPr="00536BFF">
        <w:rPr>
          <w:i/>
          <w:iCs/>
          <w:sz w:val="24"/>
          <w:szCs w:val="24"/>
        </w:rPr>
        <w:t>transsexual</w:t>
      </w:r>
      <w:r w:rsidR="00597268" w:rsidRPr="00536BFF">
        <w:rPr>
          <w:sz w:val="24"/>
          <w:szCs w:val="24"/>
        </w:rPr>
        <w:t xml:space="preserve">” is used where </w:t>
      </w:r>
      <w:r w:rsidR="005C2C8D" w:rsidRPr="00536BFF">
        <w:rPr>
          <w:sz w:val="24"/>
          <w:szCs w:val="24"/>
        </w:rPr>
        <w:t xml:space="preserve">necessary </w:t>
      </w:r>
      <w:r w:rsidR="00597268" w:rsidRPr="00536BFF">
        <w:rPr>
          <w:sz w:val="24"/>
          <w:szCs w:val="24"/>
        </w:rPr>
        <w:t xml:space="preserve">to reflect the language of the </w:t>
      </w:r>
      <w:proofErr w:type="spellStart"/>
      <w:r w:rsidR="00597268" w:rsidRPr="00536BFF">
        <w:rPr>
          <w:sz w:val="24"/>
          <w:szCs w:val="24"/>
        </w:rPr>
        <w:t>EqA</w:t>
      </w:r>
      <w:proofErr w:type="spellEnd"/>
      <w:r w:rsidR="00597268" w:rsidRPr="00536BFF">
        <w:rPr>
          <w:sz w:val="24"/>
          <w:szCs w:val="24"/>
        </w:rPr>
        <w:t xml:space="preserve"> or the case law being described.  </w:t>
      </w:r>
      <w:r w:rsidR="0030576D" w:rsidRPr="00536BFF">
        <w:rPr>
          <w:sz w:val="24"/>
          <w:szCs w:val="24"/>
        </w:rPr>
        <w:t xml:space="preserve"> The phrases “</w:t>
      </w:r>
      <w:r w:rsidR="0030576D" w:rsidRPr="00536BFF">
        <w:rPr>
          <w:i/>
          <w:iCs/>
          <w:sz w:val="24"/>
          <w:szCs w:val="24"/>
        </w:rPr>
        <w:t>trans man</w:t>
      </w:r>
      <w:r w:rsidR="0030576D" w:rsidRPr="00536BFF">
        <w:rPr>
          <w:sz w:val="24"/>
          <w:szCs w:val="24"/>
        </w:rPr>
        <w:t>” and “</w:t>
      </w:r>
      <w:r w:rsidR="0030576D" w:rsidRPr="00536BFF">
        <w:rPr>
          <w:i/>
          <w:iCs/>
          <w:sz w:val="24"/>
          <w:szCs w:val="24"/>
        </w:rPr>
        <w:t>trans woman</w:t>
      </w:r>
      <w:r w:rsidR="0030576D" w:rsidRPr="00536BFF">
        <w:rPr>
          <w:sz w:val="24"/>
          <w:szCs w:val="24"/>
        </w:rPr>
        <w:t xml:space="preserve">” are used respectively to refer to a </w:t>
      </w:r>
      <w:r w:rsidR="00C50E01" w:rsidRPr="00536BFF">
        <w:rPr>
          <w:sz w:val="24"/>
          <w:szCs w:val="24"/>
        </w:rPr>
        <w:t xml:space="preserve">natal </w:t>
      </w:r>
      <w:r w:rsidR="0030576D" w:rsidRPr="00536BFF">
        <w:rPr>
          <w:sz w:val="24"/>
          <w:szCs w:val="24"/>
        </w:rPr>
        <w:t xml:space="preserve">woman and a </w:t>
      </w:r>
      <w:r w:rsidR="00C50E01" w:rsidRPr="00536BFF">
        <w:rPr>
          <w:sz w:val="24"/>
          <w:szCs w:val="24"/>
        </w:rPr>
        <w:t xml:space="preserve">natal </w:t>
      </w:r>
      <w:r w:rsidR="0030576D" w:rsidRPr="00536BFF">
        <w:rPr>
          <w:sz w:val="24"/>
          <w:szCs w:val="24"/>
        </w:rPr>
        <w:t>man who have the protected characteristic of gender reassignment</w:t>
      </w:r>
    </w:p>
    <w:p w14:paraId="37510A03" w14:textId="77777777" w:rsidR="00A22FFE" w:rsidRPr="00536BFF" w:rsidRDefault="00A22FFE" w:rsidP="00DD3D37">
      <w:pPr>
        <w:spacing w:line="360" w:lineRule="auto"/>
        <w:ind w:left="360"/>
        <w:jc w:val="both"/>
        <w:rPr>
          <w:sz w:val="24"/>
          <w:szCs w:val="24"/>
        </w:rPr>
      </w:pPr>
    </w:p>
    <w:p w14:paraId="44D4F034" w14:textId="5BDDD095" w:rsidR="00DD3D37" w:rsidRPr="00536BFF" w:rsidRDefault="00F27CAC" w:rsidP="00410161">
      <w:pPr>
        <w:pStyle w:val="Heading1"/>
        <w:rPr>
          <w:rFonts w:ascii="Garamond" w:hAnsi="Garamond"/>
          <w:sz w:val="24"/>
          <w:szCs w:val="24"/>
        </w:rPr>
      </w:pPr>
      <w:r w:rsidRPr="00536BFF">
        <w:rPr>
          <w:rFonts w:ascii="Garamond" w:hAnsi="Garamond"/>
          <w:sz w:val="24"/>
          <w:szCs w:val="24"/>
        </w:rPr>
        <w:t>C</w:t>
      </w:r>
      <w:r w:rsidR="00410161" w:rsidRPr="00536BFF">
        <w:rPr>
          <w:rFonts w:ascii="Garamond" w:hAnsi="Garamond"/>
          <w:sz w:val="24"/>
          <w:szCs w:val="24"/>
        </w:rPr>
        <w:t xml:space="preserve">: </w:t>
      </w:r>
      <w:r w:rsidR="00410161" w:rsidRPr="00536BFF">
        <w:rPr>
          <w:rFonts w:ascii="Garamond" w:hAnsi="Garamond"/>
          <w:sz w:val="24"/>
          <w:szCs w:val="24"/>
        </w:rPr>
        <w:tab/>
        <w:t xml:space="preserve"> SUBMISSIONS </w:t>
      </w:r>
    </w:p>
    <w:p w14:paraId="38CBB980" w14:textId="27CDE532" w:rsidR="00DD3D37" w:rsidRPr="00536BFF" w:rsidRDefault="00DD3D37" w:rsidP="00DD3D37">
      <w:pPr>
        <w:pStyle w:val="ListParagraph"/>
        <w:numPr>
          <w:ilvl w:val="0"/>
          <w:numId w:val="1"/>
        </w:numPr>
        <w:spacing w:line="360" w:lineRule="auto"/>
        <w:jc w:val="both"/>
        <w:rPr>
          <w:sz w:val="24"/>
          <w:szCs w:val="24"/>
        </w:rPr>
      </w:pPr>
      <w:r w:rsidRPr="00536BFF">
        <w:rPr>
          <w:sz w:val="24"/>
          <w:szCs w:val="24"/>
        </w:rPr>
        <w:t>These submissions</w:t>
      </w:r>
      <w:r w:rsidR="004B4E6F" w:rsidRPr="00536BFF">
        <w:rPr>
          <w:sz w:val="24"/>
          <w:szCs w:val="24"/>
        </w:rPr>
        <w:t>,</w:t>
      </w:r>
      <w:r w:rsidRPr="00536BFF">
        <w:rPr>
          <w:sz w:val="24"/>
          <w:szCs w:val="24"/>
        </w:rPr>
        <w:t xml:space="preserve"> </w:t>
      </w:r>
      <w:r w:rsidR="000738E6" w:rsidRPr="00536BFF">
        <w:rPr>
          <w:sz w:val="24"/>
          <w:szCs w:val="24"/>
        </w:rPr>
        <w:t xml:space="preserve">first, set out </w:t>
      </w:r>
      <w:r w:rsidR="004B4E6F" w:rsidRPr="00536BFF">
        <w:rPr>
          <w:sz w:val="24"/>
          <w:szCs w:val="24"/>
        </w:rPr>
        <w:t xml:space="preserve">why this </w:t>
      </w:r>
      <w:r w:rsidR="00E62005" w:rsidRPr="00536BFF">
        <w:rPr>
          <w:sz w:val="24"/>
          <w:szCs w:val="24"/>
        </w:rPr>
        <w:t>C</w:t>
      </w:r>
      <w:r w:rsidR="004B4E6F" w:rsidRPr="00536BFF">
        <w:rPr>
          <w:sz w:val="24"/>
          <w:szCs w:val="24"/>
        </w:rPr>
        <w:t xml:space="preserve">ourt can conclude that the </w:t>
      </w:r>
      <w:r w:rsidR="000738E6" w:rsidRPr="00536BFF">
        <w:rPr>
          <w:sz w:val="24"/>
          <w:szCs w:val="24"/>
        </w:rPr>
        <w:t xml:space="preserve">intention </w:t>
      </w:r>
      <w:r w:rsidR="004B4E6F" w:rsidRPr="00536BFF">
        <w:rPr>
          <w:sz w:val="24"/>
          <w:szCs w:val="24"/>
        </w:rPr>
        <w:t>of</w:t>
      </w:r>
      <w:r w:rsidR="000738E6" w:rsidRPr="00536BFF">
        <w:rPr>
          <w:sz w:val="24"/>
          <w:szCs w:val="24"/>
        </w:rPr>
        <w:t xml:space="preserve"> s.9</w:t>
      </w:r>
      <w:r w:rsidR="004B4E6F" w:rsidRPr="00536BFF">
        <w:rPr>
          <w:sz w:val="24"/>
          <w:szCs w:val="24"/>
        </w:rPr>
        <w:t xml:space="preserve">(1) </w:t>
      </w:r>
      <w:r w:rsidR="000738E6" w:rsidRPr="00536BFF">
        <w:rPr>
          <w:sz w:val="24"/>
          <w:szCs w:val="24"/>
        </w:rPr>
        <w:t>of the GRA</w:t>
      </w:r>
      <w:r w:rsidR="004B4E6F" w:rsidRPr="00536BFF">
        <w:rPr>
          <w:sz w:val="24"/>
          <w:szCs w:val="24"/>
        </w:rPr>
        <w:t xml:space="preserve"> was that obtaining a GRC would change the sex of a person in law, subject to an express or </w:t>
      </w:r>
      <w:r w:rsidR="00F2063E" w:rsidRPr="00536BFF">
        <w:rPr>
          <w:sz w:val="24"/>
          <w:szCs w:val="24"/>
        </w:rPr>
        <w:t>necessar</w:t>
      </w:r>
      <w:r w:rsidR="005C2C8D" w:rsidRPr="00536BFF">
        <w:rPr>
          <w:sz w:val="24"/>
          <w:szCs w:val="24"/>
        </w:rPr>
        <w:t>ily</w:t>
      </w:r>
      <w:r w:rsidR="00F2063E" w:rsidRPr="00536BFF">
        <w:rPr>
          <w:sz w:val="24"/>
          <w:szCs w:val="24"/>
        </w:rPr>
        <w:t xml:space="preserve"> </w:t>
      </w:r>
      <w:r w:rsidR="004B4E6F" w:rsidRPr="00536BFF">
        <w:rPr>
          <w:sz w:val="24"/>
          <w:szCs w:val="24"/>
        </w:rPr>
        <w:t>implied</w:t>
      </w:r>
      <w:r w:rsidR="004B4E6F" w:rsidRPr="00380E0D">
        <w:rPr>
          <w:sz w:val="24"/>
          <w:szCs w:val="24"/>
        </w:rPr>
        <w:t xml:space="preserve"> exception made in the Act itself or in </w:t>
      </w:r>
      <w:r w:rsidR="005C2C8D" w:rsidRPr="00380E0D">
        <w:rPr>
          <w:sz w:val="24"/>
          <w:szCs w:val="24"/>
        </w:rPr>
        <w:t>other</w:t>
      </w:r>
      <w:r w:rsidR="004B4E6F" w:rsidRPr="00380E0D">
        <w:rPr>
          <w:sz w:val="24"/>
          <w:szCs w:val="24"/>
        </w:rPr>
        <w:t xml:space="preserve"> enactments (s.9(3)).</w:t>
      </w:r>
      <w:r w:rsidR="000738E6" w:rsidRPr="00380E0D">
        <w:rPr>
          <w:sz w:val="24"/>
          <w:szCs w:val="24"/>
        </w:rPr>
        <w:t xml:space="preserve"> </w:t>
      </w:r>
      <w:r w:rsidR="004B4E6F" w:rsidRPr="00380E0D">
        <w:rPr>
          <w:sz w:val="24"/>
          <w:szCs w:val="24"/>
        </w:rPr>
        <w:t>S</w:t>
      </w:r>
      <w:r w:rsidR="00DC27C4" w:rsidRPr="00380E0D">
        <w:rPr>
          <w:sz w:val="24"/>
          <w:szCs w:val="24"/>
        </w:rPr>
        <w:t>econd,</w:t>
      </w:r>
      <w:r w:rsidR="004B4E6F" w:rsidRPr="00380E0D">
        <w:rPr>
          <w:sz w:val="24"/>
          <w:szCs w:val="24"/>
        </w:rPr>
        <w:t xml:space="preserve"> these submissions</w:t>
      </w:r>
      <w:r w:rsidR="00DC27C4" w:rsidRPr="00380E0D">
        <w:rPr>
          <w:sz w:val="24"/>
          <w:szCs w:val="24"/>
        </w:rPr>
        <w:t xml:space="preserve"> explain why the </w:t>
      </w:r>
      <w:proofErr w:type="spellStart"/>
      <w:r w:rsidR="0010616A" w:rsidRPr="00380E0D">
        <w:rPr>
          <w:sz w:val="24"/>
          <w:szCs w:val="24"/>
        </w:rPr>
        <w:t>EqA</w:t>
      </w:r>
      <w:proofErr w:type="spellEnd"/>
      <w:r w:rsidR="004B4E6F" w:rsidRPr="00380E0D">
        <w:rPr>
          <w:sz w:val="24"/>
          <w:szCs w:val="24"/>
        </w:rPr>
        <w:t xml:space="preserve"> </w:t>
      </w:r>
      <w:r w:rsidR="00F2063E" w:rsidRPr="00380E0D">
        <w:rPr>
          <w:sz w:val="24"/>
          <w:szCs w:val="24"/>
        </w:rPr>
        <w:t>does not contain an</w:t>
      </w:r>
      <w:r w:rsidR="005C2C8D" w:rsidRPr="00380E0D">
        <w:rPr>
          <w:sz w:val="24"/>
          <w:szCs w:val="24"/>
        </w:rPr>
        <w:t>y</w:t>
      </w:r>
      <w:r w:rsidR="00F2063E" w:rsidRPr="00380E0D">
        <w:rPr>
          <w:sz w:val="24"/>
          <w:szCs w:val="24"/>
        </w:rPr>
        <w:t xml:space="preserve"> express or </w:t>
      </w:r>
      <w:r w:rsidR="007A26D7" w:rsidRPr="00380E0D">
        <w:rPr>
          <w:sz w:val="24"/>
          <w:szCs w:val="24"/>
        </w:rPr>
        <w:t>necessar</w:t>
      </w:r>
      <w:r w:rsidR="005C2C8D" w:rsidRPr="00380E0D">
        <w:rPr>
          <w:sz w:val="24"/>
          <w:szCs w:val="24"/>
        </w:rPr>
        <w:t>ily</w:t>
      </w:r>
      <w:r w:rsidR="007A26D7" w:rsidRPr="00380E0D">
        <w:rPr>
          <w:sz w:val="24"/>
          <w:szCs w:val="24"/>
        </w:rPr>
        <w:t xml:space="preserve"> </w:t>
      </w:r>
      <w:r w:rsidR="00F2063E" w:rsidRPr="00536BFF">
        <w:rPr>
          <w:sz w:val="24"/>
          <w:szCs w:val="24"/>
        </w:rPr>
        <w:t xml:space="preserve">implied exception </w:t>
      </w:r>
      <w:r w:rsidR="007A26D7" w:rsidRPr="00536BFF">
        <w:rPr>
          <w:sz w:val="24"/>
          <w:szCs w:val="24"/>
        </w:rPr>
        <w:t>to</w:t>
      </w:r>
      <w:r w:rsidR="00731666" w:rsidRPr="00536BFF">
        <w:rPr>
          <w:sz w:val="24"/>
          <w:szCs w:val="24"/>
        </w:rPr>
        <w:t xml:space="preserve"> s.9(1).  </w:t>
      </w:r>
      <w:r w:rsidR="005C2C8D" w:rsidRPr="00536BFF">
        <w:rPr>
          <w:sz w:val="24"/>
          <w:szCs w:val="24"/>
        </w:rPr>
        <w:t>Third</w:t>
      </w:r>
      <w:r w:rsidR="00731666" w:rsidRPr="00536BFF">
        <w:rPr>
          <w:sz w:val="24"/>
          <w:szCs w:val="24"/>
        </w:rPr>
        <w:t xml:space="preserve">, </w:t>
      </w:r>
      <w:r w:rsidR="00943E05" w:rsidRPr="00536BFF">
        <w:rPr>
          <w:sz w:val="24"/>
          <w:szCs w:val="24"/>
        </w:rPr>
        <w:t>they</w:t>
      </w:r>
      <w:r w:rsidR="0010616A" w:rsidRPr="00536BFF">
        <w:rPr>
          <w:sz w:val="24"/>
          <w:szCs w:val="24"/>
        </w:rPr>
        <w:t xml:space="preserve"> explain some of the difficulties</w:t>
      </w:r>
      <w:r w:rsidR="00C50E01" w:rsidRPr="00536BFF">
        <w:rPr>
          <w:sz w:val="24"/>
          <w:szCs w:val="24"/>
        </w:rPr>
        <w:t>,</w:t>
      </w:r>
      <w:r w:rsidR="006F2D78" w:rsidRPr="00536BFF">
        <w:rPr>
          <w:sz w:val="24"/>
          <w:szCs w:val="24"/>
        </w:rPr>
        <w:t xml:space="preserve"> </w:t>
      </w:r>
      <w:r w:rsidR="0010616A" w:rsidRPr="00536BFF">
        <w:rPr>
          <w:sz w:val="24"/>
          <w:szCs w:val="24"/>
        </w:rPr>
        <w:t>tensions</w:t>
      </w:r>
      <w:r w:rsidR="00C50E01" w:rsidRPr="00536BFF">
        <w:rPr>
          <w:sz w:val="24"/>
          <w:szCs w:val="24"/>
        </w:rPr>
        <w:t xml:space="preserve"> and apparent </w:t>
      </w:r>
      <w:r w:rsidR="00380E0D" w:rsidRPr="00536BFF">
        <w:rPr>
          <w:sz w:val="24"/>
          <w:szCs w:val="24"/>
        </w:rPr>
        <w:t>inconsistencies</w:t>
      </w:r>
      <w:r w:rsidR="0010616A" w:rsidRPr="00536BFF">
        <w:rPr>
          <w:sz w:val="24"/>
          <w:szCs w:val="24"/>
        </w:rPr>
        <w:t xml:space="preserve"> that </w:t>
      </w:r>
      <w:r w:rsidR="00943E05" w:rsidRPr="00536BFF">
        <w:rPr>
          <w:sz w:val="24"/>
          <w:szCs w:val="24"/>
        </w:rPr>
        <w:t xml:space="preserve">the Commission considers </w:t>
      </w:r>
      <w:r w:rsidR="0010616A" w:rsidRPr="00536BFF">
        <w:rPr>
          <w:sz w:val="24"/>
          <w:szCs w:val="24"/>
        </w:rPr>
        <w:t xml:space="preserve">arise out of </w:t>
      </w:r>
      <w:r w:rsidR="00224304" w:rsidRPr="00536BFF">
        <w:rPr>
          <w:sz w:val="24"/>
          <w:szCs w:val="24"/>
        </w:rPr>
        <w:t xml:space="preserve">the second definition.  </w:t>
      </w:r>
    </w:p>
    <w:p w14:paraId="5560F993" w14:textId="77777777" w:rsidR="00B16FC7" w:rsidRPr="00536BFF" w:rsidRDefault="00B16FC7" w:rsidP="00067086">
      <w:pPr>
        <w:spacing w:line="360" w:lineRule="auto"/>
        <w:jc w:val="both"/>
        <w:rPr>
          <w:sz w:val="24"/>
          <w:szCs w:val="24"/>
        </w:rPr>
      </w:pPr>
    </w:p>
    <w:p w14:paraId="35B9B688" w14:textId="10903D82" w:rsidR="008277C6" w:rsidRPr="00536BFF" w:rsidRDefault="00074E3F" w:rsidP="00074E3F">
      <w:pPr>
        <w:pStyle w:val="Heading2"/>
        <w:rPr>
          <w:sz w:val="24"/>
          <w:szCs w:val="24"/>
        </w:rPr>
      </w:pPr>
      <w:r w:rsidRPr="00536BFF">
        <w:rPr>
          <w:sz w:val="24"/>
          <w:szCs w:val="24"/>
        </w:rPr>
        <w:t xml:space="preserve">(1)  </w:t>
      </w:r>
      <w:r w:rsidR="00067086" w:rsidRPr="00536BFF">
        <w:rPr>
          <w:sz w:val="24"/>
          <w:szCs w:val="24"/>
        </w:rPr>
        <w:t xml:space="preserve">The intention or purpose </w:t>
      </w:r>
      <w:r w:rsidR="000738E6" w:rsidRPr="00536BFF">
        <w:rPr>
          <w:sz w:val="24"/>
          <w:szCs w:val="24"/>
        </w:rPr>
        <w:t xml:space="preserve">s.9(1) of the </w:t>
      </w:r>
      <w:r w:rsidR="00067086" w:rsidRPr="00536BFF">
        <w:rPr>
          <w:sz w:val="24"/>
          <w:szCs w:val="24"/>
        </w:rPr>
        <w:t>GRA</w:t>
      </w:r>
    </w:p>
    <w:p w14:paraId="7F7F4DA9" w14:textId="64BB1E2E" w:rsidR="00067086" w:rsidRPr="00536BFF" w:rsidRDefault="00074E3F" w:rsidP="00074E3F">
      <w:pPr>
        <w:pStyle w:val="Heading3"/>
        <w:rPr>
          <w:sz w:val="24"/>
          <w:szCs w:val="24"/>
        </w:rPr>
      </w:pPr>
      <w:r w:rsidRPr="00536BFF">
        <w:rPr>
          <w:sz w:val="24"/>
          <w:szCs w:val="24"/>
        </w:rPr>
        <w:t>(</w:t>
      </w:r>
      <w:proofErr w:type="spellStart"/>
      <w:r w:rsidRPr="00536BFF">
        <w:rPr>
          <w:sz w:val="24"/>
          <w:szCs w:val="24"/>
        </w:rPr>
        <w:t>i</w:t>
      </w:r>
      <w:proofErr w:type="spellEnd"/>
      <w:r w:rsidRPr="00536BFF">
        <w:rPr>
          <w:sz w:val="24"/>
          <w:szCs w:val="24"/>
        </w:rPr>
        <w:t xml:space="preserve">) </w:t>
      </w:r>
      <w:r w:rsidR="002F53F1" w:rsidRPr="00536BFF">
        <w:rPr>
          <w:sz w:val="24"/>
          <w:szCs w:val="24"/>
        </w:rPr>
        <w:t>Background to, and c</w:t>
      </w:r>
      <w:r w:rsidR="00067086" w:rsidRPr="00536BFF">
        <w:rPr>
          <w:sz w:val="24"/>
          <w:szCs w:val="24"/>
        </w:rPr>
        <w:t>ontext</w:t>
      </w:r>
      <w:r w:rsidR="00A25141" w:rsidRPr="00536BFF">
        <w:rPr>
          <w:sz w:val="24"/>
          <w:szCs w:val="24"/>
        </w:rPr>
        <w:t xml:space="preserve"> of</w:t>
      </w:r>
      <w:r w:rsidR="002F53F1" w:rsidRPr="00536BFF">
        <w:rPr>
          <w:sz w:val="24"/>
          <w:szCs w:val="24"/>
        </w:rPr>
        <w:t>,</w:t>
      </w:r>
      <w:r w:rsidR="00A25141" w:rsidRPr="00536BFF">
        <w:rPr>
          <w:sz w:val="24"/>
          <w:szCs w:val="24"/>
        </w:rPr>
        <w:t xml:space="preserve"> the GRA</w:t>
      </w:r>
    </w:p>
    <w:p w14:paraId="61078436" w14:textId="68B044AF" w:rsidR="00840854" w:rsidRPr="00380E0D" w:rsidRDefault="00A25141" w:rsidP="008B08B2">
      <w:pPr>
        <w:pStyle w:val="ListParagraph"/>
        <w:numPr>
          <w:ilvl w:val="0"/>
          <w:numId w:val="1"/>
        </w:numPr>
        <w:spacing w:line="360" w:lineRule="auto"/>
        <w:jc w:val="both"/>
        <w:rPr>
          <w:sz w:val="24"/>
          <w:szCs w:val="24"/>
        </w:rPr>
      </w:pPr>
      <w:r w:rsidRPr="00536BFF">
        <w:rPr>
          <w:sz w:val="24"/>
          <w:szCs w:val="24"/>
        </w:rPr>
        <w:t xml:space="preserve">The Appellant advances two </w:t>
      </w:r>
      <w:r w:rsidR="00943E05" w:rsidRPr="00536BFF">
        <w:rPr>
          <w:sz w:val="24"/>
          <w:szCs w:val="24"/>
        </w:rPr>
        <w:t>features</w:t>
      </w:r>
      <w:r w:rsidRPr="00536BFF">
        <w:rPr>
          <w:sz w:val="24"/>
          <w:szCs w:val="24"/>
        </w:rPr>
        <w:t xml:space="preserve"> of the legal context of the introduction of the GRA in support of its assertion that the first definition is correct: the decisions of the </w:t>
      </w:r>
      <w:r w:rsidR="007A26D7" w:rsidRPr="00536BFF">
        <w:rPr>
          <w:sz w:val="24"/>
          <w:szCs w:val="24"/>
        </w:rPr>
        <w:t>European Court of Human Rights (“</w:t>
      </w:r>
      <w:r w:rsidRPr="00536BFF">
        <w:rPr>
          <w:b/>
          <w:bCs/>
          <w:sz w:val="24"/>
          <w:szCs w:val="24"/>
        </w:rPr>
        <w:t>ECtHR</w:t>
      </w:r>
      <w:r w:rsidR="007A26D7" w:rsidRPr="00380E0D">
        <w:rPr>
          <w:sz w:val="24"/>
          <w:szCs w:val="24"/>
        </w:rPr>
        <w:t>”)</w:t>
      </w:r>
      <w:r w:rsidR="00943E05" w:rsidRPr="00380E0D">
        <w:rPr>
          <w:sz w:val="24"/>
          <w:szCs w:val="24"/>
        </w:rPr>
        <w:t xml:space="preserve"> in</w:t>
      </w:r>
      <w:r w:rsidRPr="00380E0D">
        <w:rPr>
          <w:sz w:val="24"/>
          <w:szCs w:val="24"/>
        </w:rPr>
        <w:t xml:space="preserve"> </w:t>
      </w:r>
      <w:r w:rsidR="007A26D7" w:rsidRPr="00380E0D">
        <w:rPr>
          <w:i/>
          <w:iCs/>
          <w:sz w:val="24"/>
          <w:szCs w:val="24"/>
          <w:u w:val="single"/>
        </w:rPr>
        <w:t>Goodwin v United Kingdom</w:t>
      </w:r>
      <w:r w:rsidR="007A26D7" w:rsidRPr="00380E0D">
        <w:rPr>
          <w:sz w:val="24"/>
          <w:szCs w:val="24"/>
        </w:rPr>
        <w:t xml:space="preserve"> (Application No 28957/95) (2002) 35 EHRR 18 </w:t>
      </w:r>
      <w:r w:rsidRPr="00380E0D">
        <w:rPr>
          <w:sz w:val="24"/>
          <w:szCs w:val="24"/>
        </w:rPr>
        <w:t>and the House of Lords in</w:t>
      </w:r>
      <w:r w:rsidR="005F301B" w:rsidRPr="00380E0D">
        <w:rPr>
          <w:sz w:val="24"/>
          <w:szCs w:val="24"/>
        </w:rPr>
        <w:t xml:space="preserve">  </w:t>
      </w:r>
      <w:r w:rsidR="005F301B" w:rsidRPr="00380E0D">
        <w:rPr>
          <w:i/>
          <w:iCs/>
          <w:sz w:val="24"/>
          <w:szCs w:val="24"/>
          <w:u w:val="single"/>
        </w:rPr>
        <w:t>Bellinger v Bellinger</w:t>
      </w:r>
      <w:r w:rsidR="005F301B" w:rsidRPr="00380E0D">
        <w:rPr>
          <w:sz w:val="24"/>
          <w:szCs w:val="24"/>
        </w:rPr>
        <w:t xml:space="preserve"> [2003] UKHL 21</w:t>
      </w:r>
      <w:r w:rsidR="006B2C0C">
        <w:rPr>
          <w:sz w:val="24"/>
          <w:szCs w:val="24"/>
        </w:rPr>
        <w:t>,</w:t>
      </w:r>
      <w:r w:rsidR="005F301B" w:rsidRPr="00380E0D">
        <w:rPr>
          <w:sz w:val="24"/>
          <w:szCs w:val="24"/>
        </w:rPr>
        <w:t xml:space="preserve"> [2003] 2 A.C. 467</w:t>
      </w:r>
      <w:r w:rsidRPr="00380E0D">
        <w:rPr>
          <w:i/>
          <w:iCs/>
          <w:sz w:val="24"/>
          <w:szCs w:val="24"/>
        </w:rPr>
        <w:t xml:space="preserve"> </w:t>
      </w:r>
      <w:r w:rsidR="001667DE" w:rsidRPr="00380E0D">
        <w:rPr>
          <w:sz w:val="24"/>
          <w:szCs w:val="24"/>
        </w:rPr>
        <w:t>[AC/§§19-2</w:t>
      </w:r>
      <w:r w:rsidR="003B3558" w:rsidRPr="00380E0D">
        <w:rPr>
          <w:sz w:val="24"/>
          <w:szCs w:val="24"/>
        </w:rPr>
        <w:t>1</w:t>
      </w:r>
      <w:r w:rsidR="001667DE" w:rsidRPr="00380E0D">
        <w:rPr>
          <w:sz w:val="24"/>
          <w:szCs w:val="24"/>
        </w:rPr>
        <w:t>]</w:t>
      </w:r>
      <w:r w:rsidR="008155E8">
        <w:rPr>
          <w:sz w:val="24"/>
          <w:szCs w:val="24"/>
        </w:rPr>
        <w:t xml:space="preserve"> </w:t>
      </w:r>
      <w:r w:rsidR="008155E8" w:rsidRPr="008155E8">
        <w:rPr>
          <w:color w:val="FF0000"/>
          <w:sz w:val="24"/>
          <w:szCs w:val="24"/>
        </w:rPr>
        <w:t>[EF</w:t>
      </w:r>
      <w:r w:rsidR="00D97B43">
        <w:rPr>
          <w:color w:val="FF0000"/>
          <w:sz w:val="24"/>
          <w:szCs w:val="24"/>
        </w:rPr>
        <w:t>.15</w:t>
      </w:r>
      <w:r w:rsidR="008E6487">
        <w:rPr>
          <w:color w:val="FF0000"/>
          <w:sz w:val="24"/>
          <w:szCs w:val="24"/>
        </w:rPr>
        <w:t>67</w:t>
      </w:r>
      <w:r w:rsidR="008155E8" w:rsidRPr="008155E8">
        <w:rPr>
          <w:color w:val="FF0000"/>
          <w:sz w:val="24"/>
          <w:szCs w:val="24"/>
        </w:rPr>
        <w:t>]</w:t>
      </w:r>
      <w:r w:rsidR="001667DE" w:rsidRPr="00380E0D">
        <w:rPr>
          <w:sz w:val="24"/>
          <w:szCs w:val="24"/>
        </w:rPr>
        <w:t xml:space="preserve">. </w:t>
      </w:r>
      <w:r w:rsidR="003B3558" w:rsidRPr="00380E0D">
        <w:rPr>
          <w:sz w:val="24"/>
          <w:szCs w:val="24"/>
        </w:rPr>
        <w:t xml:space="preserve"> </w:t>
      </w:r>
      <w:r w:rsidR="00840854" w:rsidRPr="00380E0D">
        <w:rPr>
          <w:sz w:val="24"/>
          <w:szCs w:val="24"/>
        </w:rPr>
        <w:t>These authorities are relied upon in support of the proposition that “</w:t>
      </w:r>
      <w:r w:rsidR="00840854" w:rsidRPr="00380E0D">
        <w:rPr>
          <w:i/>
          <w:iCs/>
          <w:sz w:val="24"/>
          <w:szCs w:val="24"/>
        </w:rPr>
        <w:t>the GRA 2004 essentially concerns the vertical relationship between an individual and the State (how the State records and retains and certifies and presents personal data about an individual’s sex)</w:t>
      </w:r>
      <w:r w:rsidR="00840854" w:rsidRPr="00380E0D">
        <w:rPr>
          <w:sz w:val="24"/>
          <w:szCs w:val="24"/>
        </w:rPr>
        <w:t xml:space="preserve">” </w:t>
      </w:r>
      <w:r w:rsidR="00CC45E7" w:rsidRPr="00380E0D">
        <w:rPr>
          <w:sz w:val="24"/>
          <w:szCs w:val="24"/>
        </w:rPr>
        <w:t>[</w:t>
      </w:r>
      <w:r w:rsidR="00840854" w:rsidRPr="00380E0D">
        <w:rPr>
          <w:sz w:val="24"/>
          <w:szCs w:val="24"/>
        </w:rPr>
        <w:t>AC/18</w:t>
      </w:r>
      <w:r w:rsidR="00D97B43">
        <w:rPr>
          <w:sz w:val="24"/>
          <w:szCs w:val="24"/>
        </w:rPr>
        <w:t xml:space="preserve"> </w:t>
      </w:r>
      <w:r w:rsidR="00D97B43" w:rsidRPr="00D97B43">
        <w:rPr>
          <w:color w:val="FF0000"/>
          <w:sz w:val="24"/>
          <w:szCs w:val="24"/>
        </w:rPr>
        <w:t>EF.1</w:t>
      </w:r>
      <w:r w:rsidR="008E6487">
        <w:rPr>
          <w:color w:val="FF0000"/>
          <w:sz w:val="24"/>
          <w:szCs w:val="24"/>
        </w:rPr>
        <w:t>59</w:t>
      </w:r>
      <w:r w:rsidR="00CC45E7" w:rsidRPr="00380E0D">
        <w:rPr>
          <w:sz w:val="24"/>
          <w:szCs w:val="24"/>
        </w:rPr>
        <w:t>]</w:t>
      </w:r>
      <w:r w:rsidR="00840854" w:rsidRPr="00380E0D">
        <w:rPr>
          <w:sz w:val="24"/>
          <w:szCs w:val="24"/>
        </w:rPr>
        <w:t xml:space="preserve">. </w:t>
      </w:r>
    </w:p>
    <w:p w14:paraId="4678788E" w14:textId="77777777" w:rsidR="00840854" w:rsidRPr="00536BFF" w:rsidRDefault="00840854" w:rsidP="00840854">
      <w:pPr>
        <w:pStyle w:val="ListParagraph"/>
        <w:spacing w:line="360" w:lineRule="auto"/>
        <w:ind w:left="794"/>
        <w:jc w:val="both"/>
        <w:rPr>
          <w:sz w:val="16"/>
          <w:szCs w:val="16"/>
        </w:rPr>
      </w:pPr>
    </w:p>
    <w:p w14:paraId="1C56FD4C" w14:textId="66FC6215" w:rsidR="009E2AC3" w:rsidRPr="00380E0D" w:rsidRDefault="00840854" w:rsidP="008B08B2">
      <w:pPr>
        <w:pStyle w:val="ListParagraph"/>
        <w:numPr>
          <w:ilvl w:val="0"/>
          <w:numId w:val="1"/>
        </w:numPr>
        <w:spacing w:line="360" w:lineRule="auto"/>
        <w:jc w:val="both"/>
        <w:rPr>
          <w:sz w:val="24"/>
          <w:szCs w:val="24"/>
        </w:rPr>
      </w:pPr>
      <w:r w:rsidRPr="00380E0D">
        <w:rPr>
          <w:sz w:val="24"/>
          <w:szCs w:val="24"/>
        </w:rPr>
        <w:t>However, t</w:t>
      </w:r>
      <w:r w:rsidR="003B3558" w:rsidRPr="00380E0D">
        <w:rPr>
          <w:sz w:val="24"/>
          <w:szCs w:val="24"/>
        </w:rPr>
        <w:t>he</w:t>
      </w:r>
      <w:r w:rsidR="001F12E2" w:rsidRPr="00380E0D">
        <w:rPr>
          <w:sz w:val="24"/>
          <w:szCs w:val="24"/>
        </w:rPr>
        <w:t>re is a</w:t>
      </w:r>
      <w:r w:rsidR="003B3558" w:rsidRPr="00380E0D">
        <w:rPr>
          <w:sz w:val="24"/>
          <w:szCs w:val="24"/>
        </w:rPr>
        <w:t xml:space="preserve"> third</w:t>
      </w:r>
      <w:r w:rsidR="001F12E2" w:rsidRPr="00380E0D">
        <w:rPr>
          <w:sz w:val="24"/>
          <w:szCs w:val="24"/>
        </w:rPr>
        <w:t xml:space="preserve"> relevant</w:t>
      </w:r>
      <w:r w:rsidR="003B3558" w:rsidRPr="00380E0D">
        <w:rPr>
          <w:sz w:val="24"/>
          <w:szCs w:val="24"/>
        </w:rPr>
        <w:t xml:space="preserve"> aspect of the </w:t>
      </w:r>
      <w:r w:rsidR="009353D2" w:rsidRPr="00380E0D">
        <w:rPr>
          <w:sz w:val="24"/>
          <w:szCs w:val="24"/>
        </w:rPr>
        <w:t xml:space="preserve">legal </w:t>
      </w:r>
      <w:r w:rsidR="003B3558" w:rsidRPr="00380E0D">
        <w:rPr>
          <w:sz w:val="24"/>
          <w:szCs w:val="24"/>
        </w:rPr>
        <w:t>context of the GRA</w:t>
      </w:r>
      <w:r w:rsidR="001F12E2" w:rsidRPr="00380E0D">
        <w:rPr>
          <w:sz w:val="24"/>
          <w:szCs w:val="24"/>
        </w:rPr>
        <w:t xml:space="preserve">, namely </w:t>
      </w:r>
      <w:r w:rsidR="007A26D7" w:rsidRPr="00380E0D">
        <w:rPr>
          <w:sz w:val="24"/>
          <w:szCs w:val="24"/>
        </w:rPr>
        <w:t>the</w:t>
      </w:r>
      <w:r w:rsidR="003B3558" w:rsidRPr="00380E0D">
        <w:rPr>
          <w:sz w:val="24"/>
          <w:szCs w:val="24"/>
        </w:rPr>
        <w:t xml:space="preserve"> cases applying E</w:t>
      </w:r>
      <w:r w:rsidR="00ED2DFE" w:rsidRPr="00380E0D">
        <w:rPr>
          <w:sz w:val="24"/>
          <w:szCs w:val="24"/>
        </w:rPr>
        <w:t xml:space="preserve">uropean </w:t>
      </w:r>
      <w:r w:rsidR="003B3558" w:rsidRPr="00380E0D">
        <w:rPr>
          <w:sz w:val="24"/>
          <w:szCs w:val="24"/>
        </w:rPr>
        <w:t>U</w:t>
      </w:r>
      <w:r w:rsidR="00ED2DFE" w:rsidRPr="00380E0D">
        <w:rPr>
          <w:sz w:val="24"/>
          <w:szCs w:val="24"/>
        </w:rPr>
        <w:t>nion</w:t>
      </w:r>
      <w:r w:rsidR="009353D2" w:rsidRPr="00380E0D">
        <w:rPr>
          <w:sz w:val="24"/>
          <w:szCs w:val="24"/>
        </w:rPr>
        <w:t xml:space="preserve"> (“</w:t>
      </w:r>
      <w:r w:rsidR="009353D2" w:rsidRPr="00380E0D">
        <w:rPr>
          <w:b/>
          <w:bCs/>
          <w:sz w:val="24"/>
          <w:szCs w:val="24"/>
        </w:rPr>
        <w:t>EU</w:t>
      </w:r>
      <w:r w:rsidR="009353D2" w:rsidRPr="00380E0D">
        <w:rPr>
          <w:sz w:val="24"/>
          <w:szCs w:val="24"/>
        </w:rPr>
        <w:t>”)</w:t>
      </w:r>
      <w:r w:rsidR="003B3558" w:rsidRPr="00380E0D">
        <w:rPr>
          <w:sz w:val="24"/>
          <w:szCs w:val="24"/>
        </w:rPr>
        <w:t xml:space="preserve"> discrimination law</w:t>
      </w:r>
      <w:r w:rsidR="00767873" w:rsidRPr="00380E0D">
        <w:rPr>
          <w:sz w:val="24"/>
          <w:szCs w:val="24"/>
        </w:rPr>
        <w:t xml:space="preserve">: the Court of </w:t>
      </w:r>
      <w:r w:rsidR="007507FC" w:rsidRPr="00380E0D">
        <w:rPr>
          <w:sz w:val="24"/>
          <w:szCs w:val="24"/>
        </w:rPr>
        <w:t>Justice</w:t>
      </w:r>
      <w:r w:rsidR="007507FC">
        <w:rPr>
          <w:sz w:val="24"/>
          <w:szCs w:val="24"/>
        </w:rPr>
        <w:t xml:space="preserve"> of the </w:t>
      </w:r>
      <w:r w:rsidR="007507FC" w:rsidRPr="00380E0D">
        <w:rPr>
          <w:sz w:val="24"/>
          <w:szCs w:val="24"/>
        </w:rPr>
        <w:t>European</w:t>
      </w:r>
      <w:r w:rsidR="007507FC">
        <w:rPr>
          <w:sz w:val="24"/>
          <w:szCs w:val="24"/>
        </w:rPr>
        <w:t xml:space="preserve"> Union</w:t>
      </w:r>
      <w:r w:rsidR="007507FC" w:rsidRPr="00380E0D">
        <w:rPr>
          <w:sz w:val="24"/>
          <w:szCs w:val="24"/>
        </w:rPr>
        <w:t xml:space="preserve"> </w:t>
      </w:r>
      <w:r w:rsidR="009353D2" w:rsidRPr="00380E0D">
        <w:rPr>
          <w:sz w:val="24"/>
          <w:szCs w:val="24"/>
        </w:rPr>
        <w:t>(“</w:t>
      </w:r>
      <w:r w:rsidR="009353D2" w:rsidRPr="00FB40E9">
        <w:rPr>
          <w:b/>
          <w:bCs/>
          <w:sz w:val="24"/>
          <w:szCs w:val="24"/>
        </w:rPr>
        <w:t>CJ</w:t>
      </w:r>
      <w:r w:rsidR="007507FC">
        <w:rPr>
          <w:b/>
          <w:bCs/>
          <w:sz w:val="24"/>
          <w:szCs w:val="24"/>
        </w:rPr>
        <w:t>EU</w:t>
      </w:r>
      <w:r w:rsidR="009353D2" w:rsidRPr="00380E0D">
        <w:rPr>
          <w:sz w:val="24"/>
          <w:szCs w:val="24"/>
        </w:rPr>
        <w:t xml:space="preserve">”) </w:t>
      </w:r>
      <w:r w:rsidR="00767873" w:rsidRPr="00380E0D">
        <w:rPr>
          <w:sz w:val="24"/>
          <w:szCs w:val="24"/>
        </w:rPr>
        <w:t>in</w:t>
      </w:r>
      <w:r w:rsidR="003B3558" w:rsidRPr="00380E0D">
        <w:rPr>
          <w:sz w:val="24"/>
          <w:szCs w:val="24"/>
        </w:rPr>
        <w:t xml:space="preserve"> </w:t>
      </w:r>
      <w:r w:rsidR="003B3558" w:rsidRPr="00380E0D">
        <w:rPr>
          <w:i/>
          <w:iCs/>
          <w:sz w:val="24"/>
          <w:szCs w:val="24"/>
          <w:u w:val="single"/>
        </w:rPr>
        <w:t>P v S and Cornwall County Council</w:t>
      </w:r>
      <w:r w:rsidR="003B3558" w:rsidRPr="00380E0D">
        <w:rPr>
          <w:sz w:val="24"/>
          <w:szCs w:val="24"/>
        </w:rPr>
        <w:t xml:space="preserve"> [1996] ECR I-2143 [1996] ICR 795, and</w:t>
      </w:r>
      <w:r w:rsidR="00767873" w:rsidRPr="00380E0D">
        <w:rPr>
          <w:sz w:val="24"/>
          <w:szCs w:val="24"/>
        </w:rPr>
        <w:t xml:space="preserve"> the House of Lords in</w:t>
      </w:r>
      <w:r w:rsidR="003B3558" w:rsidRPr="00380E0D">
        <w:rPr>
          <w:sz w:val="24"/>
          <w:szCs w:val="24"/>
        </w:rPr>
        <w:t xml:space="preserve"> </w:t>
      </w:r>
      <w:r w:rsidR="003B3558" w:rsidRPr="00380E0D">
        <w:rPr>
          <w:i/>
          <w:iCs/>
          <w:sz w:val="24"/>
          <w:szCs w:val="24"/>
          <w:u w:val="single"/>
        </w:rPr>
        <w:t>Chief Constable, West Yorkshire Police v A (No 2)</w:t>
      </w:r>
      <w:r w:rsidR="003B3558" w:rsidRPr="00380E0D">
        <w:rPr>
          <w:sz w:val="24"/>
          <w:szCs w:val="24"/>
        </w:rPr>
        <w:t xml:space="preserve"> [2004] UKHL 21 [2005] 1 AC 51</w:t>
      </w:r>
      <w:r w:rsidR="00574389" w:rsidRPr="00380E0D">
        <w:rPr>
          <w:sz w:val="24"/>
          <w:szCs w:val="24"/>
        </w:rPr>
        <w:t xml:space="preserve">.  </w:t>
      </w:r>
    </w:p>
    <w:p w14:paraId="78BB5E4A" w14:textId="77777777" w:rsidR="0082639E" w:rsidRPr="00536BFF" w:rsidRDefault="0082639E" w:rsidP="0082639E">
      <w:pPr>
        <w:pStyle w:val="ListParagraph"/>
        <w:spacing w:line="360" w:lineRule="auto"/>
        <w:ind w:left="794"/>
        <w:jc w:val="both"/>
        <w:rPr>
          <w:sz w:val="16"/>
          <w:szCs w:val="16"/>
        </w:rPr>
      </w:pPr>
    </w:p>
    <w:p w14:paraId="040BE465" w14:textId="14510F0D" w:rsidR="003F02A6" w:rsidRPr="00380E0D" w:rsidRDefault="0082639E" w:rsidP="006873AB">
      <w:pPr>
        <w:pStyle w:val="ListParagraph"/>
        <w:numPr>
          <w:ilvl w:val="0"/>
          <w:numId w:val="1"/>
        </w:numPr>
        <w:spacing w:line="360" w:lineRule="auto"/>
        <w:jc w:val="both"/>
        <w:rPr>
          <w:sz w:val="24"/>
          <w:szCs w:val="24"/>
        </w:rPr>
      </w:pPr>
      <w:r w:rsidRPr="00380E0D">
        <w:rPr>
          <w:sz w:val="24"/>
          <w:szCs w:val="24"/>
        </w:rPr>
        <w:lastRenderedPageBreak/>
        <w:t xml:space="preserve">In </w:t>
      </w:r>
      <w:r w:rsidRPr="00380E0D">
        <w:rPr>
          <w:i/>
          <w:iCs/>
          <w:sz w:val="24"/>
          <w:szCs w:val="24"/>
          <w:u w:val="single"/>
        </w:rPr>
        <w:t xml:space="preserve">P v. </w:t>
      </w:r>
      <w:proofErr w:type="spellStart"/>
      <w:r w:rsidRPr="00380E0D">
        <w:rPr>
          <w:i/>
          <w:iCs/>
          <w:sz w:val="24"/>
          <w:szCs w:val="24"/>
          <w:u w:val="single"/>
        </w:rPr>
        <w:t>S</w:t>
      </w:r>
      <w:proofErr w:type="spellEnd"/>
      <w:r w:rsidRPr="00380E0D">
        <w:rPr>
          <w:i/>
          <w:iCs/>
          <w:sz w:val="24"/>
          <w:szCs w:val="24"/>
        </w:rPr>
        <w:t xml:space="preserve"> </w:t>
      </w:r>
      <w:r w:rsidR="00943E05" w:rsidRPr="00380E0D">
        <w:rPr>
          <w:sz w:val="24"/>
          <w:szCs w:val="24"/>
        </w:rPr>
        <w:t>the CJ</w:t>
      </w:r>
      <w:r w:rsidR="006B2C0C">
        <w:rPr>
          <w:sz w:val="24"/>
          <w:szCs w:val="24"/>
        </w:rPr>
        <w:t>EU</w:t>
      </w:r>
      <w:r w:rsidRPr="00380E0D">
        <w:rPr>
          <w:sz w:val="24"/>
          <w:szCs w:val="24"/>
        </w:rPr>
        <w:t xml:space="preserve"> held that discrimination on the basis of “</w:t>
      </w:r>
      <w:r w:rsidRPr="00380E0D">
        <w:rPr>
          <w:i/>
          <w:iCs/>
          <w:sz w:val="24"/>
          <w:szCs w:val="24"/>
        </w:rPr>
        <w:t>transsexualism</w:t>
      </w:r>
      <w:r w:rsidRPr="00380E0D">
        <w:rPr>
          <w:sz w:val="24"/>
          <w:szCs w:val="24"/>
        </w:rPr>
        <w:t xml:space="preserve">” comprised discrimination on the ground of sex and was therefore unlawful under the EU Equal Treatment Directive (No.76/207)), </w:t>
      </w:r>
      <w:r w:rsidR="00943E05" w:rsidRPr="00380E0D">
        <w:rPr>
          <w:sz w:val="24"/>
          <w:szCs w:val="24"/>
        </w:rPr>
        <w:t>holding</w:t>
      </w:r>
      <w:r w:rsidR="001F12E2" w:rsidRPr="00380E0D">
        <w:rPr>
          <w:sz w:val="24"/>
          <w:szCs w:val="24"/>
        </w:rPr>
        <w:t xml:space="preserve"> (§21) that: “</w:t>
      </w:r>
      <w:r w:rsidR="001F12E2" w:rsidRPr="00AA7AB8">
        <w:rPr>
          <w:i/>
          <w:iCs/>
          <w:sz w:val="24"/>
          <w:szCs w:val="24"/>
        </w:rPr>
        <w:t xml:space="preserve">Where a person is dismissed on the ground that he or she intends to undergo, or has undergone, gender reassignment, he or she is treated unfavourably by comparison with persons of the sex to which he or she was deemed to </w:t>
      </w:r>
      <w:proofErr w:type="spellStart"/>
      <w:r w:rsidR="001F12E2" w:rsidRPr="00AA7AB8">
        <w:rPr>
          <w:i/>
          <w:iCs/>
          <w:sz w:val="24"/>
          <w:szCs w:val="24"/>
        </w:rPr>
        <w:t>belong</w:t>
      </w:r>
      <w:proofErr w:type="spellEnd"/>
      <w:r w:rsidR="001F12E2" w:rsidRPr="00AA7AB8">
        <w:rPr>
          <w:i/>
          <w:iCs/>
          <w:sz w:val="24"/>
          <w:szCs w:val="24"/>
        </w:rPr>
        <w:t xml:space="preserve"> before undergoing gender reassignment</w:t>
      </w:r>
      <w:r w:rsidR="001F12E2" w:rsidRPr="00380E0D">
        <w:rPr>
          <w:i/>
          <w:iCs/>
          <w:sz w:val="24"/>
          <w:szCs w:val="24"/>
        </w:rPr>
        <w:t>”</w:t>
      </w:r>
      <w:r w:rsidR="002D33BD">
        <w:rPr>
          <w:i/>
          <w:iCs/>
          <w:sz w:val="24"/>
          <w:szCs w:val="24"/>
        </w:rPr>
        <w:t xml:space="preserve"> </w:t>
      </w:r>
      <w:r w:rsidR="002D33BD" w:rsidRPr="002D33BD">
        <w:rPr>
          <w:color w:val="FF0000"/>
          <w:sz w:val="24"/>
          <w:szCs w:val="24"/>
        </w:rPr>
        <w:t>[EF</w:t>
      </w:r>
      <w:r w:rsidR="00CC4458">
        <w:rPr>
          <w:color w:val="FF0000"/>
          <w:sz w:val="24"/>
          <w:szCs w:val="24"/>
        </w:rPr>
        <w:t>.3</w:t>
      </w:r>
      <w:r w:rsidR="008E6487">
        <w:rPr>
          <w:color w:val="FF0000"/>
          <w:sz w:val="24"/>
          <w:szCs w:val="24"/>
        </w:rPr>
        <w:t>227</w:t>
      </w:r>
      <w:r w:rsidR="002D33BD" w:rsidRPr="002D33BD">
        <w:rPr>
          <w:color w:val="FF0000"/>
          <w:sz w:val="24"/>
          <w:szCs w:val="24"/>
        </w:rPr>
        <w:t>]</w:t>
      </w:r>
      <w:r w:rsidR="001F12E2" w:rsidRPr="00380E0D">
        <w:rPr>
          <w:i/>
          <w:iCs/>
          <w:sz w:val="24"/>
          <w:szCs w:val="24"/>
        </w:rPr>
        <w:t>.</w:t>
      </w:r>
      <w:r w:rsidRPr="00380E0D">
        <w:rPr>
          <w:sz w:val="24"/>
          <w:szCs w:val="24"/>
        </w:rPr>
        <w:t xml:space="preserve"> </w:t>
      </w:r>
      <w:r w:rsidR="00840854" w:rsidRPr="00380E0D">
        <w:rPr>
          <w:sz w:val="24"/>
          <w:szCs w:val="24"/>
        </w:rPr>
        <w:t xml:space="preserve"> In other words, for the purposes of a claim of sex discrimination, a “</w:t>
      </w:r>
      <w:r w:rsidR="00840854" w:rsidRPr="00380E0D">
        <w:rPr>
          <w:i/>
          <w:iCs/>
          <w:sz w:val="24"/>
          <w:szCs w:val="24"/>
        </w:rPr>
        <w:t>transsexual</w:t>
      </w:r>
      <w:r w:rsidR="00840854" w:rsidRPr="00380E0D">
        <w:rPr>
          <w:sz w:val="24"/>
          <w:szCs w:val="24"/>
        </w:rPr>
        <w:t>” would be regarded as being of</w:t>
      </w:r>
      <w:r w:rsidR="00D05912" w:rsidRPr="00380E0D">
        <w:rPr>
          <w:sz w:val="24"/>
          <w:szCs w:val="24"/>
        </w:rPr>
        <w:t xml:space="preserve"> the sexual identity of</w:t>
      </w:r>
      <w:r w:rsidR="00840854" w:rsidRPr="00380E0D">
        <w:rPr>
          <w:sz w:val="24"/>
          <w:szCs w:val="24"/>
        </w:rPr>
        <w:t xml:space="preserve"> their acquired </w:t>
      </w:r>
      <w:r w:rsidR="00E0699B" w:rsidRPr="00380E0D">
        <w:rPr>
          <w:sz w:val="24"/>
          <w:szCs w:val="24"/>
        </w:rPr>
        <w:t>gender and</w:t>
      </w:r>
      <w:r w:rsidR="00840854" w:rsidRPr="00380E0D">
        <w:rPr>
          <w:sz w:val="24"/>
          <w:szCs w:val="24"/>
        </w:rPr>
        <w:t xml:space="preserve"> would compare themselves with persons of their natal sex who were not “</w:t>
      </w:r>
      <w:r w:rsidR="00840854" w:rsidRPr="00380E0D">
        <w:rPr>
          <w:i/>
          <w:iCs/>
          <w:sz w:val="24"/>
          <w:szCs w:val="24"/>
        </w:rPr>
        <w:t>transsexual</w:t>
      </w:r>
      <w:r w:rsidR="00840854" w:rsidRPr="00380E0D">
        <w:rPr>
          <w:sz w:val="24"/>
          <w:szCs w:val="24"/>
        </w:rPr>
        <w:t>”.</w:t>
      </w:r>
      <w:r w:rsidR="006873AB" w:rsidRPr="00380E0D">
        <w:rPr>
          <w:sz w:val="24"/>
          <w:szCs w:val="24"/>
        </w:rPr>
        <w:t xml:space="preserve">  </w:t>
      </w:r>
      <w:r w:rsidR="00D50CD9" w:rsidRPr="00380E0D">
        <w:rPr>
          <w:sz w:val="24"/>
          <w:szCs w:val="24"/>
        </w:rPr>
        <w:t xml:space="preserve">Following </w:t>
      </w:r>
      <w:r w:rsidR="00D50CD9" w:rsidRPr="00AA7AB8">
        <w:rPr>
          <w:i/>
          <w:iCs/>
          <w:sz w:val="24"/>
          <w:szCs w:val="24"/>
          <w:u w:val="single"/>
        </w:rPr>
        <w:t>P v S</w:t>
      </w:r>
      <w:r w:rsidR="001F12E2" w:rsidRPr="00380E0D">
        <w:rPr>
          <w:sz w:val="24"/>
          <w:szCs w:val="24"/>
        </w:rPr>
        <w:t xml:space="preserve">, </w:t>
      </w:r>
      <w:r w:rsidR="00D50CD9" w:rsidRPr="00380E0D">
        <w:rPr>
          <w:sz w:val="24"/>
          <w:szCs w:val="24"/>
        </w:rPr>
        <w:t xml:space="preserve">the </w:t>
      </w:r>
      <w:r w:rsidR="003C60AA" w:rsidRPr="00380E0D">
        <w:rPr>
          <w:sz w:val="24"/>
          <w:szCs w:val="24"/>
        </w:rPr>
        <w:t>S</w:t>
      </w:r>
      <w:r w:rsidR="00840854" w:rsidRPr="00380E0D">
        <w:rPr>
          <w:sz w:val="24"/>
          <w:szCs w:val="24"/>
        </w:rPr>
        <w:t>DA</w:t>
      </w:r>
      <w:r w:rsidR="003F02A6" w:rsidRPr="00380E0D">
        <w:rPr>
          <w:sz w:val="24"/>
          <w:szCs w:val="24"/>
        </w:rPr>
        <w:t xml:space="preserve"> was amended by the Sex Discrimination (Gender Reassignment) Regulations</w:t>
      </w:r>
      <w:r w:rsidR="00840854" w:rsidRPr="00380E0D">
        <w:rPr>
          <w:sz w:val="24"/>
          <w:szCs w:val="24"/>
        </w:rPr>
        <w:t xml:space="preserve"> 1999 (SI</w:t>
      </w:r>
      <w:r w:rsidR="003F02A6" w:rsidRPr="00380E0D">
        <w:rPr>
          <w:sz w:val="24"/>
          <w:szCs w:val="24"/>
        </w:rPr>
        <w:t xml:space="preserve"> 1999/1102 (“</w:t>
      </w:r>
      <w:r w:rsidR="00840854" w:rsidRPr="00380E0D">
        <w:rPr>
          <w:b/>
          <w:bCs/>
          <w:sz w:val="24"/>
          <w:szCs w:val="24"/>
        </w:rPr>
        <w:t xml:space="preserve">the </w:t>
      </w:r>
      <w:r w:rsidR="003F02A6" w:rsidRPr="00380E0D">
        <w:rPr>
          <w:b/>
          <w:bCs/>
          <w:sz w:val="24"/>
          <w:szCs w:val="24"/>
        </w:rPr>
        <w:t>1999 Regulations</w:t>
      </w:r>
      <w:r w:rsidR="003F02A6" w:rsidRPr="00380E0D">
        <w:rPr>
          <w:sz w:val="24"/>
          <w:szCs w:val="24"/>
        </w:rPr>
        <w:t>”)</w:t>
      </w:r>
      <w:r w:rsidR="00840854" w:rsidRPr="00380E0D">
        <w:rPr>
          <w:sz w:val="24"/>
          <w:szCs w:val="24"/>
        </w:rPr>
        <w:t>)</w:t>
      </w:r>
      <w:r w:rsidR="003F02A6" w:rsidRPr="00380E0D">
        <w:rPr>
          <w:sz w:val="24"/>
          <w:szCs w:val="24"/>
        </w:rPr>
        <w:t>. These regulations were made under s</w:t>
      </w:r>
      <w:r w:rsidR="007E7F31" w:rsidRPr="00380E0D">
        <w:rPr>
          <w:sz w:val="24"/>
          <w:szCs w:val="24"/>
        </w:rPr>
        <w:t>.</w:t>
      </w:r>
      <w:r w:rsidR="003F02A6" w:rsidRPr="00380E0D">
        <w:rPr>
          <w:sz w:val="24"/>
          <w:szCs w:val="24"/>
        </w:rPr>
        <w:t>2(2) of the European Communities Act 1972 and extended the SDA to cover discrimination on grounds of gender reassignment in employment and vocational training</w:t>
      </w:r>
      <w:r w:rsidR="00943E05" w:rsidRPr="00380E0D">
        <w:rPr>
          <w:sz w:val="24"/>
          <w:szCs w:val="24"/>
        </w:rPr>
        <w:t xml:space="preserve"> as well as </w:t>
      </w:r>
      <w:r w:rsidR="00840854" w:rsidRPr="00380E0D">
        <w:rPr>
          <w:sz w:val="24"/>
          <w:szCs w:val="24"/>
        </w:rPr>
        <w:t xml:space="preserve">making </w:t>
      </w:r>
      <w:r w:rsidR="00943E05" w:rsidRPr="00380E0D">
        <w:rPr>
          <w:sz w:val="24"/>
          <w:szCs w:val="24"/>
        </w:rPr>
        <w:t>other related amendments</w:t>
      </w:r>
      <w:r w:rsidR="003F02A6" w:rsidRPr="00380E0D">
        <w:rPr>
          <w:sz w:val="24"/>
          <w:szCs w:val="24"/>
        </w:rPr>
        <w:t xml:space="preserve">.  Prior to its amendment by the </w:t>
      </w:r>
      <w:r w:rsidR="00943E05" w:rsidRPr="00380E0D">
        <w:rPr>
          <w:sz w:val="24"/>
          <w:szCs w:val="24"/>
        </w:rPr>
        <w:t>1999 Regulations</w:t>
      </w:r>
      <w:r w:rsidR="003F02A6" w:rsidRPr="00380E0D">
        <w:rPr>
          <w:sz w:val="24"/>
          <w:szCs w:val="24"/>
        </w:rPr>
        <w:t xml:space="preserve"> the SDA did not refer to “</w:t>
      </w:r>
      <w:r w:rsidR="003F02A6" w:rsidRPr="00FB40E9">
        <w:rPr>
          <w:sz w:val="24"/>
          <w:szCs w:val="24"/>
        </w:rPr>
        <w:t>gender</w:t>
      </w:r>
      <w:r w:rsidR="003F02A6" w:rsidRPr="00380E0D">
        <w:rPr>
          <w:sz w:val="24"/>
          <w:szCs w:val="24"/>
        </w:rPr>
        <w:t>”, only to “</w:t>
      </w:r>
      <w:r w:rsidR="003F02A6" w:rsidRPr="00FB40E9">
        <w:rPr>
          <w:sz w:val="24"/>
          <w:szCs w:val="24"/>
        </w:rPr>
        <w:t>sex</w:t>
      </w:r>
      <w:r w:rsidR="003F02A6" w:rsidRPr="00380E0D">
        <w:rPr>
          <w:sz w:val="24"/>
          <w:szCs w:val="24"/>
        </w:rPr>
        <w:t xml:space="preserve">”. </w:t>
      </w:r>
    </w:p>
    <w:p w14:paraId="1847581C" w14:textId="77777777" w:rsidR="003F02A6" w:rsidRPr="00536BFF" w:rsidRDefault="003F02A6" w:rsidP="003F02A6">
      <w:pPr>
        <w:pStyle w:val="ListParagraph"/>
        <w:spacing w:line="360" w:lineRule="auto"/>
        <w:ind w:left="794"/>
        <w:jc w:val="both"/>
        <w:rPr>
          <w:sz w:val="16"/>
          <w:szCs w:val="16"/>
        </w:rPr>
      </w:pPr>
    </w:p>
    <w:p w14:paraId="022DA168" w14:textId="2B8E1A7D" w:rsidR="002C1648" w:rsidRPr="00FB40E9" w:rsidRDefault="0082639E" w:rsidP="00D4721E">
      <w:pPr>
        <w:pStyle w:val="ListParagraph"/>
        <w:numPr>
          <w:ilvl w:val="0"/>
          <w:numId w:val="1"/>
        </w:numPr>
        <w:spacing w:line="360" w:lineRule="auto"/>
        <w:jc w:val="both"/>
        <w:rPr>
          <w:sz w:val="24"/>
          <w:szCs w:val="24"/>
        </w:rPr>
      </w:pPr>
      <w:bookmarkStart w:id="0" w:name="_Ref180424201"/>
      <w:r w:rsidRPr="00380E0D">
        <w:rPr>
          <w:i/>
          <w:iCs/>
          <w:sz w:val="24"/>
          <w:szCs w:val="24"/>
          <w:u w:val="single"/>
        </w:rPr>
        <w:t>A</w:t>
      </w:r>
      <w:r w:rsidRPr="00380E0D">
        <w:rPr>
          <w:sz w:val="24"/>
          <w:szCs w:val="24"/>
        </w:rPr>
        <w:t xml:space="preserve"> </w:t>
      </w:r>
      <w:r w:rsidR="002127AB" w:rsidRPr="00380E0D">
        <w:rPr>
          <w:sz w:val="24"/>
          <w:szCs w:val="24"/>
        </w:rPr>
        <w:t xml:space="preserve">concerned </w:t>
      </w:r>
      <w:r w:rsidR="006873AB" w:rsidRPr="00380E0D">
        <w:rPr>
          <w:sz w:val="24"/>
          <w:szCs w:val="24"/>
        </w:rPr>
        <w:t xml:space="preserve">the employment rights of </w:t>
      </w:r>
      <w:r w:rsidR="002127AB" w:rsidRPr="00380E0D">
        <w:rPr>
          <w:sz w:val="24"/>
          <w:szCs w:val="24"/>
        </w:rPr>
        <w:t>a post</w:t>
      </w:r>
      <w:r w:rsidR="001F12E2" w:rsidRPr="00380E0D">
        <w:rPr>
          <w:sz w:val="24"/>
          <w:szCs w:val="24"/>
        </w:rPr>
        <w:t>-</w:t>
      </w:r>
      <w:r w:rsidR="002127AB" w:rsidRPr="00380E0D">
        <w:rPr>
          <w:sz w:val="24"/>
          <w:szCs w:val="24"/>
        </w:rPr>
        <w:t>operative “</w:t>
      </w:r>
      <w:r w:rsidR="002127AB" w:rsidRPr="00380E0D">
        <w:rPr>
          <w:i/>
          <w:iCs/>
          <w:sz w:val="24"/>
          <w:szCs w:val="24"/>
        </w:rPr>
        <w:t>transsexual</w:t>
      </w:r>
      <w:r w:rsidR="002127AB" w:rsidRPr="00380E0D">
        <w:rPr>
          <w:sz w:val="24"/>
          <w:szCs w:val="24"/>
        </w:rPr>
        <w:t xml:space="preserve">” where it was </w:t>
      </w:r>
      <w:r w:rsidR="0079543E" w:rsidRPr="00380E0D">
        <w:rPr>
          <w:sz w:val="24"/>
          <w:szCs w:val="24"/>
        </w:rPr>
        <w:t>a “</w:t>
      </w:r>
      <w:r w:rsidR="0079543E" w:rsidRPr="00380E0D">
        <w:rPr>
          <w:i/>
          <w:iCs/>
          <w:sz w:val="24"/>
          <w:szCs w:val="24"/>
        </w:rPr>
        <w:t>genuine occupational qualification</w:t>
      </w:r>
      <w:r w:rsidR="00943E05" w:rsidRPr="00380E0D">
        <w:rPr>
          <w:sz w:val="24"/>
          <w:szCs w:val="24"/>
        </w:rPr>
        <w:t>”</w:t>
      </w:r>
      <w:r w:rsidR="002127AB" w:rsidRPr="00380E0D">
        <w:rPr>
          <w:sz w:val="24"/>
          <w:szCs w:val="24"/>
        </w:rPr>
        <w:t xml:space="preserve"> that they be able to conduct </w:t>
      </w:r>
      <w:r w:rsidR="0079543E" w:rsidRPr="00380E0D">
        <w:rPr>
          <w:sz w:val="24"/>
          <w:szCs w:val="24"/>
        </w:rPr>
        <w:t xml:space="preserve">personal </w:t>
      </w:r>
      <w:r w:rsidR="002127AB" w:rsidRPr="00380E0D">
        <w:rPr>
          <w:sz w:val="24"/>
          <w:szCs w:val="24"/>
        </w:rPr>
        <w:t xml:space="preserve">searches </w:t>
      </w:r>
      <w:r w:rsidR="0079543E" w:rsidRPr="00380E0D">
        <w:rPr>
          <w:sz w:val="24"/>
          <w:szCs w:val="24"/>
        </w:rPr>
        <w:t>of detained persons</w:t>
      </w:r>
      <w:r w:rsidR="007E7F31" w:rsidRPr="00380E0D">
        <w:rPr>
          <w:sz w:val="24"/>
          <w:szCs w:val="24"/>
        </w:rPr>
        <w:t>,</w:t>
      </w:r>
      <w:r w:rsidR="0079543E" w:rsidRPr="00380E0D">
        <w:rPr>
          <w:sz w:val="24"/>
          <w:szCs w:val="24"/>
        </w:rPr>
        <w:t xml:space="preserve"> </w:t>
      </w:r>
      <w:r w:rsidR="002127AB" w:rsidRPr="00380E0D">
        <w:rPr>
          <w:sz w:val="24"/>
          <w:szCs w:val="24"/>
        </w:rPr>
        <w:t>and the meaning of the term “</w:t>
      </w:r>
      <w:r w:rsidR="002127AB" w:rsidRPr="00380E0D">
        <w:rPr>
          <w:i/>
          <w:iCs/>
          <w:sz w:val="24"/>
          <w:szCs w:val="24"/>
        </w:rPr>
        <w:t>same sex</w:t>
      </w:r>
      <w:r w:rsidR="002127AB" w:rsidRPr="00380E0D">
        <w:rPr>
          <w:sz w:val="24"/>
          <w:szCs w:val="24"/>
        </w:rPr>
        <w:t>”</w:t>
      </w:r>
      <w:r w:rsidR="007E7F31" w:rsidRPr="00380E0D">
        <w:rPr>
          <w:sz w:val="24"/>
          <w:szCs w:val="24"/>
        </w:rPr>
        <w:t>.</w:t>
      </w:r>
      <w:r w:rsidR="002127AB" w:rsidRPr="00380E0D">
        <w:rPr>
          <w:sz w:val="24"/>
          <w:szCs w:val="24"/>
        </w:rPr>
        <w:t xml:space="preserve"> </w:t>
      </w:r>
      <w:r w:rsidR="007E7F31" w:rsidRPr="00380E0D">
        <w:rPr>
          <w:sz w:val="24"/>
          <w:szCs w:val="24"/>
        </w:rPr>
        <w:t>T</w:t>
      </w:r>
      <w:r w:rsidR="0079543E" w:rsidRPr="00380E0D">
        <w:rPr>
          <w:sz w:val="24"/>
          <w:szCs w:val="24"/>
        </w:rPr>
        <w:t>h</w:t>
      </w:r>
      <w:r w:rsidR="00D05912" w:rsidRPr="00380E0D">
        <w:rPr>
          <w:sz w:val="24"/>
          <w:szCs w:val="24"/>
        </w:rPr>
        <w:t xml:space="preserve">e key issue was </w:t>
      </w:r>
      <w:r w:rsidR="00FC48B6" w:rsidRPr="00380E0D">
        <w:rPr>
          <w:sz w:val="24"/>
          <w:szCs w:val="24"/>
        </w:rPr>
        <w:t>whether</w:t>
      </w:r>
      <w:r w:rsidR="00943E05" w:rsidRPr="00380E0D">
        <w:rPr>
          <w:sz w:val="24"/>
          <w:szCs w:val="24"/>
        </w:rPr>
        <w:t xml:space="preserve"> in the employment context</w:t>
      </w:r>
      <w:r w:rsidR="00FC48B6" w:rsidRPr="00380E0D">
        <w:rPr>
          <w:sz w:val="24"/>
          <w:szCs w:val="24"/>
        </w:rPr>
        <w:t xml:space="preserve"> a person of the “</w:t>
      </w:r>
      <w:r w:rsidR="00FC48B6" w:rsidRPr="00380E0D">
        <w:rPr>
          <w:i/>
          <w:iCs/>
          <w:sz w:val="24"/>
          <w:szCs w:val="24"/>
        </w:rPr>
        <w:t>same sex</w:t>
      </w:r>
      <w:r w:rsidR="00FC48B6" w:rsidRPr="00380E0D">
        <w:rPr>
          <w:sz w:val="24"/>
          <w:szCs w:val="24"/>
        </w:rPr>
        <w:t xml:space="preserve">” could include a transsexual person’s </w:t>
      </w:r>
      <w:r w:rsidR="007E7F31" w:rsidRPr="00380E0D">
        <w:rPr>
          <w:sz w:val="24"/>
          <w:szCs w:val="24"/>
        </w:rPr>
        <w:t xml:space="preserve">chosen </w:t>
      </w:r>
      <w:r w:rsidR="00FC48B6" w:rsidRPr="00380E0D">
        <w:rPr>
          <w:sz w:val="24"/>
          <w:szCs w:val="24"/>
        </w:rPr>
        <w:t>gender</w:t>
      </w:r>
      <w:r w:rsidR="0079543E" w:rsidRPr="00380E0D">
        <w:rPr>
          <w:sz w:val="24"/>
          <w:szCs w:val="24"/>
        </w:rPr>
        <w:t xml:space="preserve">. </w:t>
      </w:r>
      <w:r w:rsidR="002127AB" w:rsidRPr="00380E0D">
        <w:rPr>
          <w:sz w:val="24"/>
          <w:szCs w:val="24"/>
        </w:rPr>
        <w:t xml:space="preserve"> </w:t>
      </w:r>
      <w:r w:rsidR="003950D5" w:rsidRPr="00380E0D">
        <w:rPr>
          <w:sz w:val="24"/>
          <w:szCs w:val="24"/>
        </w:rPr>
        <w:t>Lord Bingham</w:t>
      </w:r>
      <w:r w:rsidR="00FC48B6" w:rsidRPr="00380E0D">
        <w:rPr>
          <w:sz w:val="24"/>
          <w:szCs w:val="24"/>
        </w:rPr>
        <w:t xml:space="preserve"> and Baroness Hale</w:t>
      </w:r>
      <w:r w:rsidR="004F48DE" w:rsidRPr="00380E0D">
        <w:rPr>
          <w:rStyle w:val="FootnoteReference"/>
          <w:sz w:val="24"/>
          <w:szCs w:val="24"/>
        </w:rPr>
        <w:footnoteReference w:id="4"/>
      </w:r>
      <w:r w:rsidR="00FC48B6" w:rsidRPr="00380E0D">
        <w:rPr>
          <w:sz w:val="24"/>
          <w:szCs w:val="24"/>
        </w:rPr>
        <w:t xml:space="preserve"> gave the leading judgments (with whom Lords Steyn §15 </w:t>
      </w:r>
      <w:r w:rsidR="001F3133" w:rsidRPr="00380E0D">
        <w:rPr>
          <w:sz w:val="24"/>
          <w:szCs w:val="24"/>
        </w:rPr>
        <w:t xml:space="preserve">and Carswell </w:t>
      </w:r>
      <w:r w:rsidR="00123023" w:rsidRPr="00380E0D">
        <w:rPr>
          <w:sz w:val="24"/>
          <w:szCs w:val="24"/>
        </w:rPr>
        <w:t xml:space="preserve">§64 </w:t>
      </w:r>
      <w:r w:rsidR="00FC48B6" w:rsidRPr="00380E0D">
        <w:rPr>
          <w:sz w:val="24"/>
          <w:szCs w:val="24"/>
        </w:rPr>
        <w:t>agreed</w:t>
      </w:r>
      <w:r w:rsidR="00D05912" w:rsidRPr="00380E0D">
        <w:rPr>
          <w:sz w:val="24"/>
          <w:szCs w:val="24"/>
        </w:rPr>
        <w:t>) dismissing the appeal</w:t>
      </w:r>
      <w:r w:rsidR="001F3133" w:rsidRPr="00380E0D">
        <w:rPr>
          <w:sz w:val="24"/>
          <w:szCs w:val="24"/>
        </w:rPr>
        <w:t>, with</w:t>
      </w:r>
      <w:r w:rsidR="004F48DE" w:rsidRPr="00380E0D">
        <w:rPr>
          <w:sz w:val="24"/>
          <w:szCs w:val="24"/>
        </w:rPr>
        <w:t xml:space="preserve"> Lord Rodger dismissing the </w:t>
      </w:r>
      <w:r w:rsidR="001F3133" w:rsidRPr="00380E0D">
        <w:rPr>
          <w:sz w:val="24"/>
          <w:szCs w:val="24"/>
        </w:rPr>
        <w:t>a</w:t>
      </w:r>
      <w:r w:rsidR="004F48DE" w:rsidRPr="00380E0D">
        <w:rPr>
          <w:sz w:val="24"/>
          <w:szCs w:val="24"/>
        </w:rPr>
        <w:t>ppeal for different reasons</w:t>
      </w:r>
      <w:r w:rsidR="00FC48B6" w:rsidRPr="00380E0D">
        <w:rPr>
          <w:sz w:val="24"/>
          <w:szCs w:val="24"/>
        </w:rPr>
        <w:t>)</w:t>
      </w:r>
      <w:r w:rsidR="004F48DE" w:rsidRPr="00380E0D">
        <w:rPr>
          <w:sz w:val="24"/>
          <w:szCs w:val="24"/>
        </w:rPr>
        <w:t>.  Lord Bingham</w:t>
      </w:r>
      <w:r w:rsidR="003950D5" w:rsidRPr="00380E0D">
        <w:rPr>
          <w:sz w:val="24"/>
          <w:szCs w:val="24"/>
        </w:rPr>
        <w:t xml:space="preserve"> </w:t>
      </w:r>
      <w:r w:rsidR="002127AB" w:rsidRPr="00380E0D">
        <w:rPr>
          <w:sz w:val="24"/>
          <w:szCs w:val="24"/>
        </w:rPr>
        <w:t xml:space="preserve">held </w:t>
      </w:r>
      <w:r w:rsidR="001F3133" w:rsidRPr="00380E0D">
        <w:rPr>
          <w:sz w:val="24"/>
          <w:szCs w:val="24"/>
        </w:rPr>
        <w:t>at</w:t>
      </w:r>
      <w:r w:rsidR="002127AB" w:rsidRPr="00380E0D">
        <w:rPr>
          <w:sz w:val="24"/>
          <w:szCs w:val="24"/>
        </w:rPr>
        <w:t xml:space="preserve"> §11</w:t>
      </w:r>
      <w:r w:rsidR="001F3133" w:rsidRPr="00380E0D">
        <w:rPr>
          <w:sz w:val="24"/>
          <w:szCs w:val="24"/>
        </w:rPr>
        <w:t>:</w:t>
      </w:r>
      <w:r w:rsidR="002127AB" w:rsidRPr="00380E0D">
        <w:rPr>
          <w:sz w:val="24"/>
          <w:szCs w:val="24"/>
        </w:rPr>
        <w:t xml:space="preserve"> “</w:t>
      </w:r>
      <w:r w:rsidR="002127AB" w:rsidRPr="00380E0D">
        <w:rPr>
          <w:i/>
          <w:iCs/>
          <w:sz w:val="24"/>
          <w:szCs w:val="24"/>
        </w:rPr>
        <w:t xml:space="preserve">In my opinion, effect can be given to the clear thrust of Community law only by reading “the same sex” in </w:t>
      </w:r>
      <w:r w:rsidR="002127AB" w:rsidRPr="00D4721E">
        <w:rPr>
          <w:i/>
          <w:iCs/>
          <w:sz w:val="24"/>
          <w:szCs w:val="24"/>
        </w:rPr>
        <w:t>section 54(9) of the 1984 Act, and “woman”, “man” and “men” in sections 1, 2, 6 and 7 of the 1975 Act, as referring to the acquired gender of a post-operative transsexual who is visually and for all practical purposes indistinguishable from non-transsexual members of that gender. No one of that gender searched by such a person could reasonably object to the search</w:t>
      </w:r>
      <w:r w:rsidR="002127AB" w:rsidRPr="00D4721E">
        <w:rPr>
          <w:sz w:val="24"/>
          <w:szCs w:val="24"/>
        </w:rPr>
        <w:t>.”</w:t>
      </w:r>
      <w:bookmarkEnd w:id="0"/>
      <w:r w:rsidR="00D4721E" w:rsidRPr="00D4721E">
        <w:rPr>
          <w:sz w:val="24"/>
          <w:szCs w:val="24"/>
        </w:rPr>
        <w:t xml:space="preserve"> </w:t>
      </w:r>
      <w:r w:rsidR="008E6487" w:rsidRPr="008E6487">
        <w:rPr>
          <w:color w:val="FF0000"/>
          <w:sz w:val="24"/>
          <w:szCs w:val="24"/>
        </w:rPr>
        <w:t>[EF.1613]</w:t>
      </w:r>
      <w:r w:rsidR="008E6487">
        <w:rPr>
          <w:sz w:val="24"/>
          <w:szCs w:val="24"/>
        </w:rPr>
        <w:t>.</w:t>
      </w:r>
      <w:r w:rsidR="00D4721E" w:rsidRPr="00D4721E">
        <w:rPr>
          <w:sz w:val="24"/>
          <w:szCs w:val="24"/>
        </w:rPr>
        <w:t xml:space="preserve"> </w:t>
      </w:r>
      <w:r w:rsidR="002C1648" w:rsidRPr="00FB40E9">
        <w:rPr>
          <w:sz w:val="24"/>
          <w:szCs w:val="24"/>
        </w:rPr>
        <w:t xml:space="preserve">Baroness Hale, interpreting the principles laid down in </w:t>
      </w:r>
      <w:r w:rsidR="002C1648" w:rsidRPr="00FB40E9">
        <w:rPr>
          <w:i/>
          <w:iCs/>
          <w:sz w:val="24"/>
          <w:szCs w:val="24"/>
          <w:u w:val="single"/>
        </w:rPr>
        <w:t>P v</w:t>
      </w:r>
      <w:r w:rsidR="00943E05" w:rsidRPr="00FB40E9">
        <w:rPr>
          <w:i/>
          <w:iCs/>
          <w:sz w:val="24"/>
          <w:szCs w:val="24"/>
          <w:u w:val="single"/>
        </w:rPr>
        <w:t>.</w:t>
      </w:r>
      <w:r w:rsidR="002C1648" w:rsidRPr="00FB40E9">
        <w:rPr>
          <w:i/>
          <w:iCs/>
          <w:sz w:val="24"/>
          <w:szCs w:val="24"/>
          <w:u w:val="single"/>
        </w:rPr>
        <w:t xml:space="preserve"> S</w:t>
      </w:r>
      <w:r w:rsidR="007A26D7" w:rsidRPr="00FB40E9">
        <w:rPr>
          <w:sz w:val="24"/>
          <w:szCs w:val="24"/>
        </w:rPr>
        <w:t>,</w:t>
      </w:r>
      <w:r w:rsidR="002C1648" w:rsidRPr="00FB40E9">
        <w:rPr>
          <w:sz w:val="24"/>
          <w:szCs w:val="24"/>
        </w:rPr>
        <w:t xml:space="preserve"> and the </w:t>
      </w:r>
      <w:proofErr w:type="spellStart"/>
      <w:r w:rsidR="002C1648" w:rsidRPr="00FB40E9">
        <w:rPr>
          <w:sz w:val="24"/>
          <w:szCs w:val="24"/>
        </w:rPr>
        <w:t>later</w:t>
      </w:r>
      <w:proofErr w:type="spellEnd"/>
      <w:r w:rsidR="002C1648" w:rsidRPr="00FB40E9">
        <w:rPr>
          <w:sz w:val="24"/>
          <w:szCs w:val="24"/>
        </w:rPr>
        <w:t xml:space="preserve"> case of </w:t>
      </w:r>
      <w:r w:rsidR="002C1648" w:rsidRPr="00FB40E9">
        <w:rPr>
          <w:i/>
          <w:iCs/>
          <w:sz w:val="24"/>
          <w:szCs w:val="24"/>
          <w:u w:val="single"/>
        </w:rPr>
        <w:t>KB v National Health Service Pensions Agency and Secretary of State for Health</w:t>
      </w:r>
      <w:r w:rsidR="002C1648" w:rsidRPr="00FB40E9">
        <w:rPr>
          <w:sz w:val="24"/>
          <w:szCs w:val="24"/>
        </w:rPr>
        <w:t xml:space="preserve"> (Case C-117/01) [2004] IRLR 240</w:t>
      </w:r>
      <w:r w:rsidR="007245BD" w:rsidRPr="00FB40E9">
        <w:rPr>
          <w:sz w:val="24"/>
          <w:szCs w:val="24"/>
        </w:rPr>
        <w:t>,</w:t>
      </w:r>
      <w:r w:rsidR="002C1648" w:rsidRPr="00FB40E9">
        <w:rPr>
          <w:sz w:val="24"/>
          <w:szCs w:val="24"/>
        </w:rPr>
        <w:t xml:space="preserve"> held at §56 that</w:t>
      </w:r>
      <w:r w:rsidR="00D4721E" w:rsidRPr="00FB40E9">
        <w:rPr>
          <w:sz w:val="24"/>
          <w:szCs w:val="24"/>
        </w:rPr>
        <w:t xml:space="preserve"> “</w:t>
      </w:r>
      <w:r w:rsidR="00D4721E" w:rsidRPr="00FB40E9">
        <w:rPr>
          <w:i/>
          <w:iCs/>
          <w:sz w:val="24"/>
          <w:szCs w:val="24"/>
        </w:rPr>
        <w:t xml:space="preserve">for the purposes of discrimination between men and women in the fields covered by the directive, a </w:t>
      </w:r>
      <w:r w:rsidR="00D4721E" w:rsidRPr="00FB40E9">
        <w:rPr>
          <w:i/>
          <w:iCs/>
          <w:sz w:val="24"/>
          <w:szCs w:val="24"/>
        </w:rPr>
        <w:lastRenderedPageBreak/>
        <w:t>trans person is to be regarded as having the sexual identity of the gender to which he or she has been reassigned”</w:t>
      </w:r>
      <w:r w:rsidR="008E6487">
        <w:rPr>
          <w:i/>
          <w:iCs/>
          <w:sz w:val="24"/>
          <w:szCs w:val="24"/>
        </w:rPr>
        <w:t xml:space="preserve"> </w:t>
      </w:r>
      <w:r w:rsidR="008E6487" w:rsidRPr="008E6487">
        <w:rPr>
          <w:color w:val="FF0000"/>
          <w:sz w:val="24"/>
          <w:szCs w:val="24"/>
        </w:rPr>
        <w:t>[EF.1629]</w:t>
      </w:r>
      <w:r w:rsidR="00D4721E" w:rsidRPr="00FB40E9">
        <w:rPr>
          <w:i/>
          <w:iCs/>
          <w:sz w:val="24"/>
          <w:szCs w:val="24"/>
        </w:rPr>
        <w:t>.</w:t>
      </w:r>
      <w:r w:rsidR="002C1648" w:rsidRPr="00FB40E9">
        <w:rPr>
          <w:sz w:val="24"/>
          <w:szCs w:val="24"/>
        </w:rPr>
        <w:t xml:space="preserve"> </w:t>
      </w:r>
    </w:p>
    <w:p w14:paraId="163158AA" w14:textId="77777777" w:rsidR="001F3133" w:rsidRPr="00536BFF" w:rsidRDefault="001F3133" w:rsidP="002C1648">
      <w:pPr>
        <w:pStyle w:val="ListParagraph"/>
        <w:spacing w:line="360" w:lineRule="auto"/>
        <w:ind w:left="1440"/>
        <w:jc w:val="both"/>
        <w:rPr>
          <w:i/>
          <w:iCs/>
          <w:sz w:val="16"/>
          <w:szCs w:val="16"/>
        </w:rPr>
      </w:pPr>
    </w:p>
    <w:p w14:paraId="535874C1" w14:textId="1B2383F3" w:rsidR="0082639E" w:rsidRPr="00380E0D" w:rsidRDefault="007A018F" w:rsidP="0082639E">
      <w:pPr>
        <w:pStyle w:val="ListParagraph"/>
        <w:numPr>
          <w:ilvl w:val="0"/>
          <w:numId w:val="1"/>
        </w:numPr>
        <w:spacing w:line="360" w:lineRule="auto"/>
        <w:jc w:val="both"/>
        <w:rPr>
          <w:sz w:val="24"/>
          <w:szCs w:val="24"/>
        </w:rPr>
      </w:pPr>
      <w:bookmarkStart w:id="1" w:name="_Ref180424277"/>
      <w:r w:rsidRPr="00380E0D">
        <w:rPr>
          <w:sz w:val="24"/>
          <w:szCs w:val="24"/>
        </w:rPr>
        <w:t>T</w:t>
      </w:r>
      <w:r w:rsidR="0082639E" w:rsidRPr="00380E0D">
        <w:rPr>
          <w:sz w:val="24"/>
          <w:szCs w:val="24"/>
        </w:rPr>
        <w:t xml:space="preserve">he </w:t>
      </w:r>
      <w:r w:rsidR="00D05912" w:rsidRPr="00380E0D">
        <w:rPr>
          <w:sz w:val="24"/>
          <w:szCs w:val="24"/>
        </w:rPr>
        <w:t xml:space="preserve">outcome of </w:t>
      </w:r>
      <w:r w:rsidR="00D05912" w:rsidRPr="00380E0D">
        <w:rPr>
          <w:i/>
          <w:iCs/>
          <w:sz w:val="24"/>
          <w:szCs w:val="24"/>
          <w:u w:val="single"/>
        </w:rPr>
        <w:t>A</w:t>
      </w:r>
      <w:r w:rsidR="00D05912" w:rsidRPr="00380E0D">
        <w:rPr>
          <w:sz w:val="24"/>
          <w:szCs w:val="24"/>
        </w:rPr>
        <w:t xml:space="preserve">, handed down </w:t>
      </w:r>
      <w:r w:rsidRPr="00380E0D">
        <w:rPr>
          <w:sz w:val="24"/>
          <w:szCs w:val="24"/>
        </w:rPr>
        <w:t xml:space="preserve">shortly before the GRA obtained Royal Assent, </w:t>
      </w:r>
      <w:r w:rsidR="00D05912" w:rsidRPr="00380E0D">
        <w:rPr>
          <w:sz w:val="24"/>
          <w:szCs w:val="24"/>
        </w:rPr>
        <w:t>was</w:t>
      </w:r>
      <w:r w:rsidRPr="00380E0D">
        <w:rPr>
          <w:sz w:val="24"/>
          <w:szCs w:val="24"/>
        </w:rPr>
        <w:t xml:space="preserve"> </w:t>
      </w:r>
      <w:r w:rsidR="001F3133" w:rsidRPr="00380E0D">
        <w:rPr>
          <w:sz w:val="24"/>
          <w:szCs w:val="24"/>
        </w:rPr>
        <w:t>that</w:t>
      </w:r>
      <w:r w:rsidR="00F2063E" w:rsidRPr="00380E0D">
        <w:rPr>
          <w:sz w:val="24"/>
          <w:szCs w:val="24"/>
        </w:rPr>
        <w:t xml:space="preserve"> </w:t>
      </w:r>
      <w:r w:rsidR="001F3133" w:rsidRPr="00380E0D">
        <w:rPr>
          <w:sz w:val="24"/>
          <w:szCs w:val="24"/>
        </w:rPr>
        <w:t>EU</w:t>
      </w:r>
      <w:r w:rsidR="00773281" w:rsidRPr="00380E0D">
        <w:rPr>
          <w:sz w:val="24"/>
          <w:szCs w:val="24"/>
        </w:rPr>
        <w:t xml:space="preserve"> </w:t>
      </w:r>
      <w:r w:rsidR="001F3133" w:rsidRPr="00380E0D">
        <w:rPr>
          <w:sz w:val="24"/>
          <w:szCs w:val="24"/>
        </w:rPr>
        <w:t>principles</w:t>
      </w:r>
      <w:r w:rsidR="00F2063E" w:rsidRPr="00380E0D">
        <w:rPr>
          <w:sz w:val="24"/>
          <w:szCs w:val="24"/>
        </w:rPr>
        <w:t xml:space="preserve"> </w:t>
      </w:r>
      <w:r w:rsidR="001F3133" w:rsidRPr="00380E0D">
        <w:rPr>
          <w:sz w:val="24"/>
          <w:szCs w:val="24"/>
        </w:rPr>
        <w:t>of equal treatment</w:t>
      </w:r>
      <w:r w:rsidR="00773281" w:rsidRPr="00380E0D">
        <w:rPr>
          <w:sz w:val="24"/>
          <w:szCs w:val="24"/>
        </w:rPr>
        <w:t xml:space="preserve"> required</w:t>
      </w:r>
      <w:r w:rsidR="0082639E" w:rsidRPr="00380E0D">
        <w:rPr>
          <w:sz w:val="24"/>
          <w:szCs w:val="24"/>
        </w:rPr>
        <w:t xml:space="preserve"> “</w:t>
      </w:r>
      <w:r w:rsidR="0082639E" w:rsidRPr="00380E0D">
        <w:rPr>
          <w:i/>
          <w:iCs/>
          <w:sz w:val="24"/>
          <w:szCs w:val="24"/>
        </w:rPr>
        <w:t>same sex</w:t>
      </w:r>
      <w:r w:rsidR="0082639E" w:rsidRPr="00380E0D">
        <w:rPr>
          <w:sz w:val="24"/>
          <w:szCs w:val="24"/>
        </w:rPr>
        <w:t>” in s</w:t>
      </w:r>
      <w:r w:rsidR="00ED2DFE" w:rsidRPr="00380E0D">
        <w:rPr>
          <w:sz w:val="24"/>
          <w:szCs w:val="24"/>
        </w:rPr>
        <w:t>.</w:t>
      </w:r>
      <w:r w:rsidR="00D05912" w:rsidRPr="00380E0D">
        <w:rPr>
          <w:sz w:val="24"/>
          <w:szCs w:val="24"/>
        </w:rPr>
        <w:t xml:space="preserve"> </w:t>
      </w:r>
      <w:r w:rsidR="0082639E" w:rsidRPr="00380E0D">
        <w:rPr>
          <w:sz w:val="24"/>
          <w:szCs w:val="24"/>
        </w:rPr>
        <w:t xml:space="preserve">54(9) of the Police and Criminal Evidence Act 1984 to be interpreted as </w:t>
      </w:r>
      <w:r w:rsidR="00773281" w:rsidRPr="00380E0D">
        <w:rPr>
          <w:sz w:val="24"/>
          <w:szCs w:val="24"/>
        </w:rPr>
        <w:t xml:space="preserve">including </w:t>
      </w:r>
      <w:r w:rsidR="0082639E" w:rsidRPr="00380E0D">
        <w:rPr>
          <w:sz w:val="24"/>
          <w:szCs w:val="24"/>
        </w:rPr>
        <w:t>the acquired gender of a post-operative transsexual.</w:t>
      </w:r>
      <w:r w:rsidR="00943E05" w:rsidRPr="00380E0D">
        <w:rPr>
          <w:sz w:val="24"/>
          <w:szCs w:val="24"/>
        </w:rPr>
        <w:t xml:space="preserve"> That is</w:t>
      </w:r>
      <w:r w:rsidR="007E7F31" w:rsidRPr="00380E0D">
        <w:rPr>
          <w:sz w:val="24"/>
          <w:szCs w:val="24"/>
        </w:rPr>
        <w:t>,</w:t>
      </w:r>
      <w:r w:rsidR="00943E05" w:rsidRPr="00380E0D">
        <w:rPr>
          <w:sz w:val="24"/>
          <w:szCs w:val="24"/>
        </w:rPr>
        <w:t xml:space="preserve"> that for equality </w:t>
      </w:r>
      <w:r w:rsidR="003C60AA" w:rsidRPr="00380E0D">
        <w:rPr>
          <w:sz w:val="24"/>
          <w:szCs w:val="24"/>
        </w:rPr>
        <w:t xml:space="preserve">employment law </w:t>
      </w:r>
      <w:r w:rsidR="00943E05" w:rsidRPr="00380E0D">
        <w:rPr>
          <w:sz w:val="24"/>
          <w:szCs w:val="24"/>
        </w:rPr>
        <w:t>purposes</w:t>
      </w:r>
      <w:r w:rsidR="00CB3D37" w:rsidRPr="00380E0D">
        <w:rPr>
          <w:sz w:val="24"/>
          <w:szCs w:val="24"/>
        </w:rPr>
        <w:t>,</w:t>
      </w:r>
      <w:r w:rsidR="00943E05" w:rsidRPr="00380E0D">
        <w:rPr>
          <w:sz w:val="24"/>
          <w:szCs w:val="24"/>
        </w:rPr>
        <w:t xml:space="preserve"> a person</w:t>
      </w:r>
      <w:r w:rsidR="007E7F31" w:rsidRPr="00380E0D">
        <w:rPr>
          <w:sz w:val="24"/>
          <w:szCs w:val="24"/>
        </w:rPr>
        <w:t>’</w:t>
      </w:r>
      <w:r w:rsidR="00943E05" w:rsidRPr="00380E0D">
        <w:rPr>
          <w:sz w:val="24"/>
          <w:szCs w:val="24"/>
        </w:rPr>
        <w:t>s “</w:t>
      </w:r>
      <w:r w:rsidR="00943E05" w:rsidRPr="00380E0D">
        <w:rPr>
          <w:i/>
          <w:iCs/>
          <w:sz w:val="24"/>
          <w:szCs w:val="24"/>
        </w:rPr>
        <w:t>sex</w:t>
      </w:r>
      <w:r w:rsidR="00943E05" w:rsidRPr="00380E0D">
        <w:rPr>
          <w:sz w:val="24"/>
          <w:szCs w:val="24"/>
        </w:rPr>
        <w:t>” could include their chosen gender</w:t>
      </w:r>
      <w:r w:rsidR="00EA6128" w:rsidRPr="00380E0D">
        <w:rPr>
          <w:sz w:val="24"/>
          <w:szCs w:val="24"/>
        </w:rPr>
        <w:t xml:space="preserve">, in circumstances where they were </w:t>
      </w:r>
      <w:r w:rsidR="00CB3D37" w:rsidRPr="00380E0D">
        <w:rPr>
          <w:sz w:val="24"/>
          <w:szCs w:val="24"/>
        </w:rPr>
        <w:t>visually</w:t>
      </w:r>
      <w:r w:rsidR="00D05912" w:rsidRPr="00380E0D">
        <w:rPr>
          <w:sz w:val="24"/>
          <w:szCs w:val="24"/>
        </w:rPr>
        <w:t>,</w:t>
      </w:r>
      <w:r w:rsidR="00EA6128" w:rsidRPr="00380E0D">
        <w:rPr>
          <w:sz w:val="24"/>
          <w:szCs w:val="24"/>
        </w:rPr>
        <w:t xml:space="preserve"> and for all practical purposes, indistinguishable from non-transsexual </w:t>
      </w:r>
      <w:r w:rsidR="00D05912" w:rsidRPr="00380E0D">
        <w:rPr>
          <w:sz w:val="24"/>
          <w:szCs w:val="24"/>
        </w:rPr>
        <w:t>persons</w:t>
      </w:r>
      <w:r w:rsidR="00EA6128" w:rsidRPr="00380E0D">
        <w:rPr>
          <w:sz w:val="24"/>
          <w:szCs w:val="24"/>
        </w:rPr>
        <w:t xml:space="preserve"> of that sex</w:t>
      </w:r>
      <w:r w:rsidR="00D05912" w:rsidRPr="00380E0D">
        <w:rPr>
          <w:sz w:val="24"/>
          <w:szCs w:val="24"/>
        </w:rPr>
        <w:t xml:space="preserve"> (per Lord Bingham at §11</w:t>
      </w:r>
      <w:r w:rsidR="00CF01F2">
        <w:rPr>
          <w:sz w:val="24"/>
          <w:szCs w:val="24"/>
        </w:rPr>
        <w:t xml:space="preserve"> </w:t>
      </w:r>
      <w:r w:rsidR="00CF01F2" w:rsidRPr="00CF01F2">
        <w:rPr>
          <w:color w:val="FF0000"/>
          <w:sz w:val="24"/>
          <w:szCs w:val="24"/>
        </w:rPr>
        <w:t>[EF.16</w:t>
      </w:r>
      <w:r w:rsidR="008E6487">
        <w:rPr>
          <w:color w:val="FF0000"/>
          <w:sz w:val="24"/>
          <w:szCs w:val="24"/>
        </w:rPr>
        <w:t>13</w:t>
      </w:r>
      <w:r w:rsidR="00CF01F2" w:rsidRPr="00CF01F2">
        <w:rPr>
          <w:color w:val="FF0000"/>
          <w:sz w:val="24"/>
          <w:szCs w:val="24"/>
        </w:rPr>
        <w:t>]</w:t>
      </w:r>
      <w:r w:rsidR="00D05912" w:rsidRPr="00380E0D">
        <w:rPr>
          <w:sz w:val="24"/>
          <w:szCs w:val="24"/>
        </w:rPr>
        <w:t xml:space="preserve">;  or – per Baroness Hale at §61 - </w:t>
      </w:r>
      <w:bookmarkStart w:id="2" w:name="para61"/>
      <w:r w:rsidR="00D05912" w:rsidRPr="00380E0D">
        <w:rPr>
          <w:sz w:val="24"/>
          <w:szCs w:val="24"/>
        </w:rPr>
        <w:t>“</w:t>
      </w:r>
      <w:r w:rsidR="00D05912" w:rsidRPr="00380E0D">
        <w:rPr>
          <w:i/>
          <w:iCs/>
          <w:sz w:val="24"/>
          <w:szCs w:val="24"/>
        </w:rPr>
        <w:t>presents as a woman in every respect</w:t>
      </w:r>
      <w:bookmarkEnd w:id="2"/>
      <w:r w:rsidR="00D05912" w:rsidRPr="00380E0D">
        <w:rPr>
          <w:sz w:val="24"/>
          <w:szCs w:val="24"/>
        </w:rPr>
        <w:t>”</w:t>
      </w:r>
      <w:r w:rsidR="00325766">
        <w:rPr>
          <w:sz w:val="24"/>
          <w:szCs w:val="24"/>
        </w:rPr>
        <w:t xml:space="preserve"> </w:t>
      </w:r>
      <w:r w:rsidR="00325766" w:rsidRPr="00325766">
        <w:rPr>
          <w:color w:val="FF0000"/>
          <w:sz w:val="24"/>
          <w:szCs w:val="24"/>
        </w:rPr>
        <w:t>[EF</w:t>
      </w:r>
      <w:r w:rsidR="00CF01F2">
        <w:rPr>
          <w:color w:val="FF0000"/>
          <w:sz w:val="24"/>
          <w:szCs w:val="24"/>
        </w:rPr>
        <w:t>.16</w:t>
      </w:r>
      <w:r w:rsidR="008E6487">
        <w:rPr>
          <w:color w:val="FF0000"/>
          <w:sz w:val="24"/>
          <w:szCs w:val="24"/>
        </w:rPr>
        <w:t>31</w:t>
      </w:r>
      <w:r w:rsidR="00325766" w:rsidRPr="00325766">
        <w:rPr>
          <w:color w:val="FF0000"/>
          <w:sz w:val="24"/>
          <w:szCs w:val="24"/>
        </w:rPr>
        <w:t>]</w:t>
      </w:r>
      <w:r w:rsidR="00D05912" w:rsidRPr="00380E0D">
        <w:rPr>
          <w:sz w:val="24"/>
          <w:szCs w:val="24"/>
        </w:rPr>
        <w:t>)</w:t>
      </w:r>
      <w:r w:rsidR="00943E05" w:rsidRPr="00380E0D">
        <w:rPr>
          <w:sz w:val="24"/>
          <w:szCs w:val="24"/>
        </w:rPr>
        <w:t>.</w:t>
      </w:r>
      <w:bookmarkEnd w:id="1"/>
      <w:r w:rsidR="00943E05" w:rsidRPr="00380E0D">
        <w:rPr>
          <w:sz w:val="24"/>
          <w:szCs w:val="24"/>
        </w:rPr>
        <w:t xml:space="preserve">  </w:t>
      </w:r>
    </w:p>
    <w:p w14:paraId="702A455A" w14:textId="77777777" w:rsidR="00EA6128" w:rsidRPr="00536BFF" w:rsidRDefault="00EA6128" w:rsidP="00EA6128">
      <w:pPr>
        <w:pStyle w:val="ListParagraph"/>
        <w:spacing w:line="360" w:lineRule="auto"/>
        <w:ind w:left="794"/>
        <w:jc w:val="both"/>
        <w:rPr>
          <w:sz w:val="16"/>
          <w:szCs w:val="16"/>
        </w:rPr>
      </w:pPr>
    </w:p>
    <w:p w14:paraId="44F77C8F" w14:textId="21C7C348" w:rsidR="00EA6128" w:rsidRPr="00536BFF" w:rsidRDefault="00EA6128" w:rsidP="00EA6128">
      <w:pPr>
        <w:pStyle w:val="ListParagraph"/>
        <w:numPr>
          <w:ilvl w:val="0"/>
          <w:numId w:val="1"/>
        </w:numPr>
        <w:spacing w:line="360" w:lineRule="auto"/>
        <w:jc w:val="both"/>
        <w:rPr>
          <w:sz w:val="24"/>
          <w:szCs w:val="24"/>
        </w:rPr>
      </w:pPr>
      <w:r w:rsidRPr="00380E0D">
        <w:rPr>
          <w:sz w:val="24"/>
          <w:szCs w:val="24"/>
        </w:rPr>
        <w:t>It is against th</w:t>
      </w:r>
      <w:r w:rsidR="00D05912" w:rsidRPr="00380E0D">
        <w:rPr>
          <w:sz w:val="24"/>
          <w:szCs w:val="24"/>
        </w:rPr>
        <w:t>e</w:t>
      </w:r>
      <w:r w:rsidRPr="00380E0D">
        <w:rPr>
          <w:sz w:val="24"/>
          <w:szCs w:val="24"/>
        </w:rPr>
        <w:t xml:space="preserve"> backdrop of the House of Lords</w:t>
      </w:r>
      <w:r w:rsidR="00AE7DF8" w:rsidRPr="00380E0D">
        <w:rPr>
          <w:sz w:val="24"/>
          <w:szCs w:val="24"/>
        </w:rPr>
        <w:t xml:space="preserve"> judgments</w:t>
      </w:r>
      <w:r w:rsidRPr="00380E0D">
        <w:rPr>
          <w:sz w:val="24"/>
          <w:szCs w:val="24"/>
        </w:rPr>
        <w:t xml:space="preserve"> in both </w:t>
      </w:r>
      <w:r w:rsidRPr="00380E0D">
        <w:rPr>
          <w:i/>
          <w:iCs/>
          <w:sz w:val="24"/>
          <w:szCs w:val="24"/>
          <w:u w:val="single"/>
        </w:rPr>
        <w:t>Bellinger</w:t>
      </w:r>
      <w:r w:rsidRPr="00380E0D">
        <w:rPr>
          <w:sz w:val="24"/>
          <w:szCs w:val="24"/>
        </w:rPr>
        <w:t xml:space="preserve"> and </w:t>
      </w:r>
      <w:r w:rsidRPr="00380E0D">
        <w:rPr>
          <w:i/>
          <w:iCs/>
          <w:sz w:val="24"/>
          <w:szCs w:val="24"/>
          <w:u w:val="single"/>
        </w:rPr>
        <w:t>A</w:t>
      </w:r>
      <w:r w:rsidRPr="00380E0D">
        <w:rPr>
          <w:sz w:val="24"/>
          <w:szCs w:val="24"/>
        </w:rPr>
        <w:t>, th</w:t>
      </w:r>
      <w:r w:rsidR="00AE7DF8" w:rsidRPr="00380E0D">
        <w:rPr>
          <w:sz w:val="24"/>
          <w:szCs w:val="24"/>
        </w:rPr>
        <w:t>at of th</w:t>
      </w:r>
      <w:r w:rsidRPr="00380E0D">
        <w:rPr>
          <w:sz w:val="24"/>
          <w:szCs w:val="24"/>
        </w:rPr>
        <w:t>e CJ</w:t>
      </w:r>
      <w:r w:rsidR="00F5569C">
        <w:rPr>
          <w:sz w:val="24"/>
          <w:szCs w:val="24"/>
        </w:rPr>
        <w:t>EU</w:t>
      </w:r>
      <w:r w:rsidRPr="00380E0D">
        <w:rPr>
          <w:sz w:val="24"/>
          <w:szCs w:val="24"/>
        </w:rPr>
        <w:t xml:space="preserve"> in </w:t>
      </w:r>
      <w:r w:rsidRPr="00380E0D">
        <w:rPr>
          <w:i/>
          <w:iCs/>
          <w:sz w:val="24"/>
          <w:szCs w:val="24"/>
          <w:u w:val="single"/>
        </w:rPr>
        <w:t>P v. S</w:t>
      </w:r>
      <w:r w:rsidRPr="00380E0D">
        <w:rPr>
          <w:sz w:val="24"/>
          <w:szCs w:val="24"/>
        </w:rPr>
        <w:t xml:space="preserve"> and the ECtHR in </w:t>
      </w:r>
      <w:r w:rsidRPr="00380E0D">
        <w:rPr>
          <w:i/>
          <w:iCs/>
          <w:sz w:val="24"/>
          <w:szCs w:val="24"/>
          <w:u w:val="single"/>
        </w:rPr>
        <w:t>Goodwin</w:t>
      </w:r>
      <w:r w:rsidRPr="00380E0D">
        <w:rPr>
          <w:sz w:val="24"/>
          <w:szCs w:val="24"/>
        </w:rPr>
        <w:t xml:space="preserve"> that Parliament passed the GRA and </w:t>
      </w:r>
      <w:r w:rsidR="00D05912" w:rsidRPr="00380E0D">
        <w:rPr>
          <w:sz w:val="24"/>
          <w:szCs w:val="24"/>
        </w:rPr>
        <w:t>against which t</w:t>
      </w:r>
      <w:r w:rsidRPr="00380E0D">
        <w:rPr>
          <w:sz w:val="24"/>
          <w:szCs w:val="24"/>
        </w:rPr>
        <w:t>he intention of Parliament in relation to s.9(1) must be considered.</w:t>
      </w:r>
      <w:r w:rsidR="00096271" w:rsidRPr="00380E0D">
        <w:rPr>
          <w:rStyle w:val="FootnoteReference"/>
          <w:sz w:val="24"/>
          <w:szCs w:val="24"/>
        </w:rPr>
        <w:footnoteReference w:id="5"/>
      </w:r>
      <w:r w:rsidR="00096271" w:rsidRPr="00380E0D">
        <w:rPr>
          <w:sz w:val="24"/>
          <w:szCs w:val="24"/>
        </w:rPr>
        <w:t xml:space="preserve"> </w:t>
      </w:r>
      <w:r w:rsidRPr="00380E0D">
        <w:rPr>
          <w:sz w:val="24"/>
          <w:szCs w:val="24"/>
        </w:rPr>
        <w:t xml:space="preserve">  </w:t>
      </w:r>
      <w:r w:rsidR="00F2063E" w:rsidRPr="00380E0D">
        <w:rPr>
          <w:sz w:val="24"/>
          <w:szCs w:val="24"/>
        </w:rPr>
        <w:t>This is a case where the context and background provide clear pointers to the objectives of the relevant provisions</w:t>
      </w:r>
      <w:r w:rsidR="00AE7DF8" w:rsidRPr="00380E0D">
        <w:rPr>
          <w:sz w:val="24"/>
          <w:szCs w:val="24"/>
        </w:rPr>
        <w:t xml:space="preserve">, and indicate that the </w:t>
      </w:r>
      <w:r w:rsidR="000C5E1F" w:rsidRPr="00380E0D">
        <w:rPr>
          <w:sz w:val="24"/>
          <w:szCs w:val="24"/>
        </w:rPr>
        <w:t xml:space="preserve">focus of the GRA was </w:t>
      </w:r>
      <w:r w:rsidR="00AE7DF8" w:rsidRPr="00380E0D">
        <w:rPr>
          <w:sz w:val="24"/>
          <w:szCs w:val="24"/>
        </w:rPr>
        <w:t xml:space="preserve">not </w:t>
      </w:r>
      <w:r w:rsidR="000C5E1F" w:rsidRPr="00380E0D">
        <w:rPr>
          <w:sz w:val="24"/>
          <w:szCs w:val="24"/>
        </w:rPr>
        <w:t xml:space="preserve">solely on the </w:t>
      </w:r>
      <w:r w:rsidR="00AE7DF8" w:rsidRPr="00380E0D">
        <w:rPr>
          <w:sz w:val="24"/>
          <w:szCs w:val="24"/>
        </w:rPr>
        <w:t xml:space="preserve">vertical </w:t>
      </w:r>
      <w:r w:rsidR="000C5E1F" w:rsidRPr="00380E0D">
        <w:rPr>
          <w:sz w:val="24"/>
          <w:szCs w:val="24"/>
        </w:rPr>
        <w:t xml:space="preserve">relationship between the individual and the state, </w:t>
      </w:r>
      <w:r w:rsidR="00AE7DF8" w:rsidRPr="00380E0D">
        <w:rPr>
          <w:sz w:val="24"/>
          <w:szCs w:val="24"/>
        </w:rPr>
        <w:t>and matters such as</w:t>
      </w:r>
      <w:r w:rsidR="000C5E1F" w:rsidRPr="00380E0D">
        <w:rPr>
          <w:sz w:val="24"/>
          <w:szCs w:val="24"/>
        </w:rPr>
        <w:t xml:space="preserve"> marriages, </w:t>
      </w:r>
      <w:r w:rsidR="00AE7DF8" w:rsidRPr="00380E0D">
        <w:rPr>
          <w:sz w:val="24"/>
          <w:szCs w:val="24"/>
        </w:rPr>
        <w:t xml:space="preserve">social security </w:t>
      </w:r>
      <w:r w:rsidR="000C5E1F" w:rsidRPr="00380E0D">
        <w:rPr>
          <w:sz w:val="24"/>
          <w:szCs w:val="24"/>
        </w:rPr>
        <w:t>benefits and pensions</w:t>
      </w:r>
      <w:r w:rsidR="00CB3D37" w:rsidRPr="00380E0D">
        <w:rPr>
          <w:sz w:val="24"/>
          <w:szCs w:val="24"/>
        </w:rPr>
        <w:t xml:space="preserve"> (</w:t>
      </w:r>
      <w:proofErr w:type="spellStart"/>
      <w:r w:rsidR="00AE7DF8" w:rsidRPr="00380E0D">
        <w:rPr>
          <w:sz w:val="24"/>
          <w:szCs w:val="24"/>
        </w:rPr>
        <w:t>cf</w:t>
      </w:r>
      <w:proofErr w:type="spellEnd"/>
      <w:r w:rsidR="00AE7DF8" w:rsidRPr="00380E0D">
        <w:rPr>
          <w:sz w:val="24"/>
          <w:szCs w:val="24"/>
        </w:rPr>
        <w:t xml:space="preserve"> </w:t>
      </w:r>
      <w:r w:rsidR="00CC45E7" w:rsidRPr="00380E0D">
        <w:rPr>
          <w:sz w:val="24"/>
          <w:szCs w:val="24"/>
        </w:rPr>
        <w:t>[</w:t>
      </w:r>
      <w:r w:rsidR="00AE7DF8" w:rsidRPr="00380E0D">
        <w:rPr>
          <w:sz w:val="24"/>
          <w:szCs w:val="24"/>
        </w:rPr>
        <w:t>AC/18, 21</w:t>
      </w:r>
      <w:r w:rsidR="00CC45E7" w:rsidRPr="00380E0D">
        <w:rPr>
          <w:sz w:val="24"/>
          <w:szCs w:val="24"/>
        </w:rPr>
        <w:t>]</w:t>
      </w:r>
      <w:r w:rsidR="00CB3D37" w:rsidRPr="00380E0D">
        <w:rPr>
          <w:sz w:val="24"/>
          <w:szCs w:val="24"/>
        </w:rPr>
        <w:t>)</w:t>
      </w:r>
      <w:r w:rsidR="00096271" w:rsidRPr="00380E0D">
        <w:rPr>
          <w:sz w:val="24"/>
          <w:szCs w:val="24"/>
        </w:rPr>
        <w:t>.</w:t>
      </w:r>
      <w:r w:rsidR="000C5E1F" w:rsidRPr="00380E0D">
        <w:rPr>
          <w:sz w:val="24"/>
          <w:szCs w:val="24"/>
        </w:rPr>
        <w:t xml:space="preserve"> </w:t>
      </w:r>
      <w:r w:rsidR="00AE7DF8" w:rsidRPr="00380E0D">
        <w:rPr>
          <w:sz w:val="24"/>
          <w:szCs w:val="24"/>
        </w:rPr>
        <w:t>The GRA was also concerned (</w:t>
      </w:r>
      <w:r w:rsidR="00AE7DF8" w:rsidRPr="00380E0D">
        <w:rPr>
          <w:i/>
          <w:iCs/>
          <w:sz w:val="24"/>
          <w:szCs w:val="24"/>
        </w:rPr>
        <w:t>inter alia</w:t>
      </w:r>
      <w:r w:rsidR="00AE7DF8" w:rsidRPr="00380E0D">
        <w:rPr>
          <w:sz w:val="24"/>
          <w:szCs w:val="24"/>
        </w:rPr>
        <w:t>) with</w:t>
      </w:r>
      <w:r w:rsidR="000C5E1F" w:rsidRPr="00380E0D">
        <w:rPr>
          <w:sz w:val="24"/>
          <w:szCs w:val="24"/>
        </w:rPr>
        <w:t xml:space="preserve"> the employment rights of individuals to bring claims </w:t>
      </w:r>
      <w:r w:rsidR="00C2416A" w:rsidRPr="00380E0D">
        <w:rPr>
          <w:sz w:val="24"/>
          <w:szCs w:val="24"/>
        </w:rPr>
        <w:t xml:space="preserve">in their chosen gender </w:t>
      </w:r>
      <w:r w:rsidR="000C5E1F" w:rsidRPr="00380E0D">
        <w:rPr>
          <w:sz w:val="24"/>
          <w:szCs w:val="24"/>
        </w:rPr>
        <w:t>for sex discrimination</w:t>
      </w:r>
      <w:r w:rsidR="00C2416A" w:rsidRPr="00380E0D">
        <w:rPr>
          <w:sz w:val="24"/>
          <w:szCs w:val="24"/>
        </w:rPr>
        <w:t>,</w:t>
      </w:r>
      <w:r w:rsidR="000C5E1F" w:rsidRPr="00380E0D">
        <w:rPr>
          <w:sz w:val="24"/>
          <w:szCs w:val="24"/>
        </w:rPr>
        <w:t xml:space="preserve"> </w:t>
      </w:r>
      <w:r w:rsidR="00096271" w:rsidRPr="00380E0D">
        <w:rPr>
          <w:sz w:val="24"/>
          <w:szCs w:val="24"/>
        </w:rPr>
        <w:t xml:space="preserve">and the objective of the Government in seeking to give effect to EU </w:t>
      </w:r>
      <w:r w:rsidR="00B8077D" w:rsidRPr="00380E0D">
        <w:rPr>
          <w:sz w:val="24"/>
          <w:szCs w:val="24"/>
        </w:rPr>
        <w:t>and</w:t>
      </w:r>
      <w:r w:rsidR="00F54431" w:rsidRPr="00380E0D">
        <w:rPr>
          <w:sz w:val="24"/>
          <w:szCs w:val="24"/>
        </w:rPr>
        <w:t xml:space="preserve"> ECHR</w:t>
      </w:r>
      <w:r w:rsidR="00B8077D" w:rsidRPr="00380E0D">
        <w:rPr>
          <w:sz w:val="24"/>
          <w:szCs w:val="24"/>
        </w:rPr>
        <w:t xml:space="preserve"> </w:t>
      </w:r>
      <w:r w:rsidR="00096271" w:rsidRPr="00380E0D">
        <w:rPr>
          <w:sz w:val="24"/>
          <w:szCs w:val="24"/>
        </w:rPr>
        <w:t>law</w:t>
      </w:r>
      <w:r w:rsidR="00A26251" w:rsidRPr="00380E0D">
        <w:rPr>
          <w:sz w:val="24"/>
          <w:szCs w:val="24"/>
        </w:rPr>
        <w:t>.</w:t>
      </w:r>
      <w:r w:rsidR="000C5E1F" w:rsidRPr="00380E0D">
        <w:rPr>
          <w:sz w:val="24"/>
          <w:szCs w:val="24"/>
        </w:rPr>
        <w:t xml:space="preserve"> </w:t>
      </w:r>
      <w:r w:rsidR="00C2416A" w:rsidRPr="00380E0D">
        <w:rPr>
          <w:sz w:val="24"/>
          <w:szCs w:val="24"/>
        </w:rPr>
        <w:t>As</w:t>
      </w:r>
      <w:r w:rsidR="00F0175D" w:rsidRPr="00380E0D">
        <w:rPr>
          <w:sz w:val="24"/>
          <w:szCs w:val="24"/>
        </w:rPr>
        <w:t xml:space="preserve"> Lord Nicholls noted in </w:t>
      </w:r>
      <w:r w:rsidR="00F0175D" w:rsidRPr="00380E0D">
        <w:rPr>
          <w:i/>
          <w:iCs/>
          <w:sz w:val="24"/>
          <w:szCs w:val="24"/>
          <w:u w:val="single"/>
        </w:rPr>
        <w:t>Bellinger</w:t>
      </w:r>
      <w:r w:rsidR="00F0175D" w:rsidRPr="00380E0D">
        <w:rPr>
          <w:sz w:val="24"/>
          <w:szCs w:val="24"/>
        </w:rPr>
        <w:t>, the GRA was intended to be “</w:t>
      </w:r>
      <w:r w:rsidR="00F0175D" w:rsidRPr="00380E0D">
        <w:rPr>
          <w:i/>
          <w:iCs/>
          <w:sz w:val="24"/>
          <w:szCs w:val="24"/>
        </w:rPr>
        <w:t>comprehensive</w:t>
      </w:r>
      <w:r w:rsidR="00F0175D" w:rsidRPr="00380E0D">
        <w:rPr>
          <w:sz w:val="24"/>
          <w:szCs w:val="24"/>
        </w:rPr>
        <w:t xml:space="preserve">” primary legislation (see §37), </w:t>
      </w:r>
      <w:r w:rsidR="00F0175D" w:rsidRPr="00536BFF">
        <w:rPr>
          <w:sz w:val="24"/>
          <w:szCs w:val="24"/>
        </w:rPr>
        <w:t>that would resolve not just the question of marriages, but would create a “</w:t>
      </w:r>
      <w:r w:rsidR="00F0175D" w:rsidRPr="00536BFF">
        <w:rPr>
          <w:i/>
          <w:iCs/>
          <w:sz w:val="24"/>
          <w:szCs w:val="24"/>
        </w:rPr>
        <w:t>coherent policy</w:t>
      </w:r>
      <w:r w:rsidR="00F0175D" w:rsidRPr="00536BFF">
        <w:rPr>
          <w:sz w:val="24"/>
          <w:szCs w:val="24"/>
        </w:rPr>
        <w:t>” in relation to areas including “</w:t>
      </w:r>
      <w:r w:rsidR="00F0175D" w:rsidRPr="00536BFF">
        <w:rPr>
          <w:i/>
          <w:iCs/>
          <w:sz w:val="24"/>
          <w:szCs w:val="24"/>
        </w:rPr>
        <w:t>education, child care, occupational qualifications, criminal law (gender-specific offences), prison regulations, sport, the needs of decency, and birth certificates</w:t>
      </w:r>
      <w:r w:rsidR="00F0175D" w:rsidRPr="00536BFF">
        <w:rPr>
          <w:sz w:val="24"/>
          <w:szCs w:val="24"/>
        </w:rPr>
        <w:t>” (§45)</w:t>
      </w:r>
      <w:r w:rsidR="00325766" w:rsidRPr="00536BFF">
        <w:rPr>
          <w:sz w:val="24"/>
          <w:szCs w:val="24"/>
        </w:rPr>
        <w:t xml:space="preserve"> </w:t>
      </w:r>
      <w:r w:rsidR="00325766" w:rsidRPr="00536BFF">
        <w:rPr>
          <w:color w:val="FF0000"/>
          <w:sz w:val="24"/>
          <w:szCs w:val="24"/>
        </w:rPr>
        <w:t>[EF</w:t>
      </w:r>
      <w:r w:rsidR="00CF01F2" w:rsidRPr="00536BFF">
        <w:rPr>
          <w:color w:val="FF0000"/>
          <w:sz w:val="24"/>
          <w:szCs w:val="24"/>
        </w:rPr>
        <w:t>.15</w:t>
      </w:r>
      <w:r w:rsidR="008E6487">
        <w:rPr>
          <w:color w:val="FF0000"/>
          <w:sz w:val="24"/>
          <w:szCs w:val="24"/>
        </w:rPr>
        <w:t>72</w:t>
      </w:r>
      <w:r w:rsidR="00325766" w:rsidRPr="00536BFF">
        <w:rPr>
          <w:color w:val="FF0000"/>
          <w:sz w:val="24"/>
          <w:szCs w:val="24"/>
        </w:rPr>
        <w:t>]</w:t>
      </w:r>
      <w:r w:rsidR="00F0175D" w:rsidRPr="00536BFF">
        <w:rPr>
          <w:sz w:val="24"/>
          <w:szCs w:val="24"/>
        </w:rPr>
        <w:t>.</w:t>
      </w:r>
    </w:p>
    <w:p w14:paraId="4D02AA1E" w14:textId="77777777" w:rsidR="00ED2DFE" w:rsidRPr="00536BFF" w:rsidRDefault="00ED2DFE" w:rsidP="00ED2DFE">
      <w:pPr>
        <w:pStyle w:val="ListParagraph"/>
        <w:spacing w:line="360" w:lineRule="auto"/>
        <w:ind w:left="794"/>
        <w:jc w:val="both"/>
        <w:rPr>
          <w:sz w:val="24"/>
          <w:szCs w:val="24"/>
        </w:rPr>
      </w:pPr>
    </w:p>
    <w:p w14:paraId="7B131BA6" w14:textId="31940119" w:rsidR="0079543E" w:rsidRPr="00536BFF" w:rsidRDefault="00074E3F" w:rsidP="00EF7D3C">
      <w:pPr>
        <w:pStyle w:val="Heading3"/>
        <w:rPr>
          <w:sz w:val="24"/>
          <w:szCs w:val="24"/>
        </w:rPr>
      </w:pPr>
      <w:r w:rsidRPr="00536BFF">
        <w:rPr>
          <w:sz w:val="24"/>
          <w:szCs w:val="24"/>
        </w:rPr>
        <w:t xml:space="preserve">(ii) </w:t>
      </w:r>
      <w:r w:rsidR="001F3133" w:rsidRPr="00536BFF">
        <w:rPr>
          <w:sz w:val="24"/>
          <w:szCs w:val="24"/>
        </w:rPr>
        <w:t xml:space="preserve">The </w:t>
      </w:r>
      <w:r w:rsidR="00F0175D" w:rsidRPr="00536BFF">
        <w:rPr>
          <w:sz w:val="24"/>
          <w:szCs w:val="24"/>
        </w:rPr>
        <w:t xml:space="preserve">relevant provisions of the </w:t>
      </w:r>
      <w:r w:rsidR="001F3133" w:rsidRPr="00536BFF">
        <w:rPr>
          <w:sz w:val="24"/>
          <w:szCs w:val="24"/>
        </w:rPr>
        <w:t xml:space="preserve">GRA </w:t>
      </w:r>
    </w:p>
    <w:p w14:paraId="6ACEF478" w14:textId="30C6C40A" w:rsidR="0079543E" w:rsidRPr="00380E0D" w:rsidRDefault="001F3133" w:rsidP="008B08B2">
      <w:pPr>
        <w:pStyle w:val="ListParagraph"/>
        <w:numPr>
          <w:ilvl w:val="0"/>
          <w:numId w:val="1"/>
        </w:numPr>
        <w:spacing w:line="360" w:lineRule="auto"/>
        <w:jc w:val="both"/>
        <w:rPr>
          <w:sz w:val="24"/>
          <w:szCs w:val="24"/>
        </w:rPr>
      </w:pPr>
      <w:r w:rsidRPr="00536BFF">
        <w:rPr>
          <w:sz w:val="24"/>
          <w:szCs w:val="24"/>
        </w:rPr>
        <w:t>T</w:t>
      </w:r>
      <w:r w:rsidR="008B08B2" w:rsidRPr="00536BFF">
        <w:rPr>
          <w:sz w:val="24"/>
          <w:szCs w:val="24"/>
        </w:rPr>
        <w:t xml:space="preserve">he GRA </w:t>
      </w:r>
      <w:r w:rsidR="00EA6128" w:rsidRPr="00536BFF">
        <w:rPr>
          <w:sz w:val="24"/>
          <w:szCs w:val="24"/>
        </w:rPr>
        <w:t>(</w:t>
      </w:r>
      <w:proofErr w:type="spellStart"/>
      <w:r w:rsidR="00EA6128" w:rsidRPr="00536BFF">
        <w:rPr>
          <w:sz w:val="24"/>
          <w:szCs w:val="24"/>
        </w:rPr>
        <w:t>i</w:t>
      </w:r>
      <w:proofErr w:type="spellEnd"/>
      <w:r w:rsidR="00EA6128" w:rsidRPr="00536BFF">
        <w:rPr>
          <w:sz w:val="24"/>
          <w:szCs w:val="24"/>
        </w:rPr>
        <w:t xml:space="preserve">) </w:t>
      </w:r>
      <w:r w:rsidR="008B08B2" w:rsidRPr="00536BFF">
        <w:rPr>
          <w:sz w:val="24"/>
          <w:szCs w:val="24"/>
        </w:rPr>
        <w:t>pr</w:t>
      </w:r>
      <w:r w:rsidR="00EA6128" w:rsidRPr="00536BFF">
        <w:rPr>
          <w:sz w:val="24"/>
          <w:szCs w:val="24"/>
        </w:rPr>
        <w:t>e</w:t>
      </w:r>
      <w:r w:rsidR="008B08B2" w:rsidRPr="00536BFF">
        <w:rPr>
          <w:sz w:val="24"/>
          <w:szCs w:val="24"/>
        </w:rPr>
        <w:t>scribe</w:t>
      </w:r>
      <w:r w:rsidRPr="00536BFF">
        <w:rPr>
          <w:sz w:val="24"/>
          <w:szCs w:val="24"/>
        </w:rPr>
        <w:t>s</w:t>
      </w:r>
      <w:r w:rsidR="008B08B2" w:rsidRPr="00536BFF">
        <w:rPr>
          <w:sz w:val="24"/>
          <w:szCs w:val="24"/>
        </w:rPr>
        <w:t xml:space="preserve"> </w:t>
      </w:r>
      <w:r w:rsidR="00122D0D" w:rsidRPr="00536BFF">
        <w:rPr>
          <w:sz w:val="24"/>
          <w:szCs w:val="24"/>
        </w:rPr>
        <w:t xml:space="preserve">a restricted set of circumstances in which a person </w:t>
      </w:r>
      <w:r w:rsidR="00EA6128" w:rsidRPr="00536BFF">
        <w:rPr>
          <w:sz w:val="24"/>
          <w:szCs w:val="24"/>
        </w:rPr>
        <w:t>can</w:t>
      </w:r>
      <w:r w:rsidR="00122D0D" w:rsidRPr="00536BFF">
        <w:rPr>
          <w:sz w:val="24"/>
          <w:szCs w:val="24"/>
        </w:rPr>
        <w:t xml:space="preserve"> obtain a GRC</w:t>
      </w:r>
      <w:r w:rsidR="00404351" w:rsidRPr="00536BFF">
        <w:rPr>
          <w:sz w:val="24"/>
          <w:szCs w:val="24"/>
        </w:rPr>
        <w:t xml:space="preserve"> (s.2) and a process for making the application</w:t>
      </w:r>
      <w:r w:rsidR="00210DEB" w:rsidRPr="00536BFF">
        <w:rPr>
          <w:sz w:val="24"/>
          <w:szCs w:val="24"/>
        </w:rPr>
        <w:t xml:space="preserve"> for a GRC</w:t>
      </w:r>
      <w:r w:rsidR="00404351" w:rsidRPr="00536BFF">
        <w:rPr>
          <w:sz w:val="24"/>
          <w:szCs w:val="24"/>
        </w:rPr>
        <w:t xml:space="preserve"> (</w:t>
      </w:r>
      <w:r w:rsidR="009D5E8F" w:rsidRPr="00536BFF">
        <w:rPr>
          <w:sz w:val="24"/>
          <w:szCs w:val="24"/>
        </w:rPr>
        <w:t>ss. 1, 4</w:t>
      </w:r>
      <w:r w:rsidR="00404351" w:rsidRPr="00536BFF">
        <w:rPr>
          <w:sz w:val="24"/>
          <w:szCs w:val="24"/>
        </w:rPr>
        <w:t>)</w:t>
      </w:r>
      <w:r w:rsidR="0079543E" w:rsidRPr="00536BFF">
        <w:rPr>
          <w:sz w:val="24"/>
          <w:szCs w:val="24"/>
        </w:rPr>
        <w:t xml:space="preserve">, </w:t>
      </w:r>
      <w:r w:rsidR="00EA6128" w:rsidRPr="00536BFF">
        <w:rPr>
          <w:sz w:val="24"/>
          <w:szCs w:val="24"/>
        </w:rPr>
        <w:t xml:space="preserve">(ii) </w:t>
      </w:r>
      <w:r w:rsidR="009D5E8F" w:rsidRPr="00536BFF">
        <w:rPr>
          <w:sz w:val="24"/>
          <w:szCs w:val="24"/>
        </w:rPr>
        <w:t>lays down a general principle as to the</w:t>
      </w:r>
      <w:r w:rsidR="009D5E8F" w:rsidRPr="00380E0D">
        <w:rPr>
          <w:sz w:val="24"/>
          <w:szCs w:val="24"/>
        </w:rPr>
        <w:t xml:space="preserve"> </w:t>
      </w:r>
      <w:r w:rsidR="0079543E" w:rsidRPr="00380E0D">
        <w:rPr>
          <w:sz w:val="24"/>
          <w:szCs w:val="24"/>
        </w:rPr>
        <w:t xml:space="preserve">legal effect of </w:t>
      </w:r>
      <w:r w:rsidR="009D5E8F" w:rsidRPr="00380E0D">
        <w:rPr>
          <w:sz w:val="24"/>
          <w:szCs w:val="24"/>
        </w:rPr>
        <w:t>a GRC</w:t>
      </w:r>
      <w:r w:rsidR="0079543E" w:rsidRPr="00380E0D">
        <w:rPr>
          <w:sz w:val="24"/>
          <w:szCs w:val="24"/>
        </w:rPr>
        <w:t xml:space="preserve"> (s.9(1)) and </w:t>
      </w:r>
      <w:r w:rsidR="009D5E8F" w:rsidRPr="00380E0D">
        <w:rPr>
          <w:sz w:val="24"/>
          <w:szCs w:val="24"/>
        </w:rPr>
        <w:t xml:space="preserve">provides for exceptions to be made in </w:t>
      </w:r>
      <w:r w:rsidR="009D5E8F" w:rsidRPr="00380E0D">
        <w:rPr>
          <w:sz w:val="24"/>
          <w:szCs w:val="24"/>
        </w:rPr>
        <w:lastRenderedPageBreak/>
        <w:t xml:space="preserve">future legislation to the usual legal effect of a GRC (s.9(3)), and (iii) makes specific provision for the legal effect of a GRC, including by amending </w:t>
      </w:r>
      <w:r w:rsidR="00EA6128" w:rsidRPr="00380E0D">
        <w:rPr>
          <w:sz w:val="24"/>
          <w:szCs w:val="24"/>
        </w:rPr>
        <w:t>v</w:t>
      </w:r>
      <w:r w:rsidR="0079543E" w:rsidRPr="00380E0D">
        <w:rPr>
          <w:sz w:val="24"/>
          <w:szCs w:val="24"/>
        </w:rPr>
        <w:t xml:space="preserve">arious </w:t>
      </w:r>
      <w:r w:rsidR="009D5E8F" w:rsidRPr="00380E0D">
        <w:rPr>
          <w:sz w:val="24"/>
          <w:szCs w:val="24"/>
        </w:rPr>
        <w:t>other</w:t>
      </w:r>
      <w:r w:rsidR="0079543E" w:rsidRPr="00380E0D">
        <w:rPr>
          <w:sz w:val="24"/>
          <w:szCs w:val="24"/>
        </w:rPr>
        <w:t xml:space="preserve"> legislation</w:t>
      </w:r>
      <w:r w:rsidR="009D5E8F" w:rsidRPr="00380E0D">
        <w:rPr>
          <w:sz w:val="24"/>
          <w:szCs w:val="24"/>
        </w:rPr>
        <w:t xml:space="preserve"> (ss. 9-21).</w:t>
      </w:r>
      <w:r w:rsidR="002F53F1" w:rsidRPr="00380E0D">
        <w:rPr>
          <w:rStyle w:val="FootnoteReference"/>
          <w:sz w:val="24"/>
          <w:szCs w:val="24"/>
        </w:rPr>
        <w:footnoteReference w:id="6"/>
      </w:r>
      <w:r w:rsidR="00EA6128" w:rsidRPr="00380E0D">
        <w:rPr>
          <w:sz w:val="24"/>
          <w:szCs w:val="24"/>
        </w:rPr>
        <w:t xml:space="preserve"> </w:t>
      </w:r>
    </w:p>
    <w:p w14:paraId="20859250" w14:textId="77777777" w:rsidR="0079543E" w:rsidRPr="00380E0D" w:rsidRDefault="0079543E" w:rsidP="0079543E">
      <w:pPr>
        <w:pStyle w:val="ListParagraph"/>
        <w:rPr>
          <w:sz w:val="24"/>
          <w:szCs w:val="24"/>
        </w:rPr>
      </w:pPr>
    </w:p>
    <w:p w14:paraId="2EC66DE9" w14:textId="1E485CAC" w:rsidR="00067086" w:rsidRPr="00380E0D" w:rsidRDefault="0079543E" w:rsidP="00565CC6">
      <w:pPr>
        <w:pStyle w:val="ListParagraph"/>
        <w:numPr>
          <w:ilvl w:val="0"/>
          <w:numId w:val="1"/>
        </w:numPr>
        <w:spacing w:line="360" w:lineRule="auto"/>
        <w:jc w:val="both"/>
        <w:rPr>
          <w:sz w:val="24"/>
          <w:szCs w:val="24"/>
        </w:rPr>
      </w:pPr>
      <w:r w:rsidRPr="00380E0D">
        <w:rPr>
          <w:sz w:val="24"/>
          <w:szCs w:val="24"/>
        </w:rPr>
        <w:t xml:space="preserve">The circumstances in which a person </w:t>
      </w:r>
      <w:r w:rsidR="00404351" w:rsidRPr="00380E0D">
        <w:rPr>
          <w:sz w:val="24"/>
          <w:szCs w:val="24"/>
        </w:rPr>
        <w:t>can</w:t>
      </w:r>
      <w:r w:rsidRPr="00380E0D">
        <w:rPr>
          <w:sz w:val="24"/>
          <w:szCs w:val="24"/>
        </w:rPr>
        <w:t xml:space="preserve"> obtain a GRC are </w:t>
      </w:r>
      <w:r w:rsidR="008B08B2" w:rsidRPr="00380E0D">
        <w:rPr>
          <w:sz w:val="24"/>
          <w:szCs w:val="24"/>
        </w:rPr>
        <w:t>that the person has, or has had, gender dysphoria</w:t>
      </w:r>
      <w:r w:rsidR="00122D0D" w:rsidRPr="00380E0D">
        <w:rPr>
          <w:rStyle w:val="FootnoteReference"/>
          <w:sz w:val="24"/>
          <w:szCs w:val="24"/>
        </w:rPr>
        <w:footnoteReference w:id="7"/>
      </w:r>
      <w:r w:rsidR="008B08B2" w:rsidRPr="00380E0D">
        <w:rPr>
          <w:sz w:val="24"/>
          <w:szCs w:val="24"/>
        </w:rPr>
        <w:t>, has lived in the acquired gender throughout the preceding two years, and intends to continue to live in the acquired gender until death (see s</w:t>
      </w:r>
      <w:r w:rsidR="00EA6128" w:rsidRPr="00380E0D">
        <w:rPr>
          <w:sz w:val="24"/>
          <w:szCs w:val="24"/>
        </w:rPr>
        <w:t>.</w:t>
      </w:r>
      <w:r w:rsidR="008B08B2" w:rsidRPr="00380E0D">
        <w:rPr>
          <w:sz w:val="24"/>
          <w:szCs w:val="24"/>
        </w:rPr>
        <w:t>2</w:t>
      </w:r>
      <w:r w:rsidR="007E7F31" w:rsidRPr="00380E0D">
        <w:rPr>
          <w:sz w:val="24"/>
          <w:szCs w:val="24"/>
        </w:rPr>
        <w:t xml:space="preserve"> GRA</w:t>
      </w:r>
      <w:r w:rsidR="008B08B2" w:rsidRPr="00380E0D">
        <w:rPr>
          <w:sz w:val="24"/>
          <w:szCs w:val="24"/>
        </w:rPr>
        <w:t xml:space="preserve">).  </w:t>
      </w:r>
      <w:r w:rsidR="00136929" w:rsidRPr="00380E0D">
        <w:rPr>
          <w:sz w:val="24"/>
          <w:szCs w:val="24"/>
        </w:rPr>
        <w:t xml:space="preserve">There is no requirement under the GRA for an individual to be </w:t>
      </w:r>
      <w:r w:rsidR="00565CC6" w:rsidRPr="00380E0D">
        <w:rPr>
          <w:sz w:val="24"/>
          <w:szCs w:val="24"/>
        </w:rPr>
        <w:t>a</w:t>
      </w:r>
      <w:r w:rsidR="00136929" w:rsidRPr="00380E0D">
        <w:rPr>
          <w:sz w:val="24"/>
          <w:szCs w:val="24"/>
        </w:rPr>
        <w:t xml:space="preserve"> “</w:t>
      </w:r>
      <w:r w:rsidR="00136929" w:rsidRPr="00380E0D">
        <w:rPr>
          <w:i/>
          <w:iCs/>
          <w:sz w:val="24"/>
          <w:szCs w:val="24"/>
        </w:rPr>
        <w:t xml:space="preserve">fully achieved </w:t>
      </w:r>
      <w:r w:rsidR="005F301B" w:rsidRPr="00380E0D">
        <w:rPr>
          <w:i/>
          <w:iCs/>
          <w:sz w:val="24"/>
          <w:szCs w:val="24"/>
        </w:rPr>
        <w:t xml:space="preserve">and </w:t>
      </w:r>
      <w:r w:rsidR="00136929" w:rsidRPr="00380E0D">
        <w:rPr>
          <w:i/>
          <w:iCs/>
          <w:sz w:val="24"/>
          <w:szCs w:val="24"/>
        </w:rPr>
        <w:t>post operative tran</w:t>
      </w:r>
      <w:r w:rsidR="000C4168" w:rsidRPr="00380E0D">
        <w:rPr>
          <w:i/>
          <w:iCs/>
          <w:sz w:val="24"/>
          <w:szCs w:val="24"/>
        </w:rPr>
        <w:t>s</w:t>
      </w:r>
      <w:r w:rsidR="00136929" w:rsidRPr="00380E0D">
        <w:rPr>
          <w:i/>
          <w:iCs/>
          <w:sz w:val="24"/>
          <w:szCs w:val="24"/>
        </w:rPr>
        <w:t>sexual</w:t>
      </w:r>
      <w:r w:rsidR="00136929" w:rsidRPr="00380E0D">
        <w:rPr>
          <w:sz w:val="24"/>
          <w:szCs w:val="24"/>
        </w:rPr>
        <w:t>”</w:t>
      </w:r>
      <w:r w:rsidR="001F3133" w:rsidRPr="00380E0D">
        <w:rPr>
          <w:sz w:val="24"/>
          <w:szCs w:val="24"/>
        </w:rPr>
        <w:t xml:space="preserve"> (</w:t>
      </w:r>
      <w:r w:rsidR="001F3133" w:rsidRPr="00380E0D">
        <w:rPr>
          <w:i/>
          <w:iCs/>
          <w:sz w:val="24"/>
          <w:szCs w:val="24"/>
          <w:u w:val="single"/>
        </w:rPr>
        <w:t>Goodwin</w:t>
      </w:r>
      <w:r w:rsidR="00AB005C" w:rsidRPr="00380E0D">
        <w:rPr>
          <w:sz w:val="24"/>
          <w:szCs w:val="24"/>
        </w:rPr>
        <w:t xml:space="preserve">, </w:t>
      </w:r>
      <w:r w:rsidR="001F3133" w:rsidRPr="00380E0D">
        <w:rPr>
          <w:sz w:val="24"/>
          <w:szCs w:val="24"/>
        </w:rPr>
        <w:t>§</w:t>
      </w:r>
      <w:r w:rsidR="005F301B" w:rsidRPr="00380E0D">
        <w:rPr>
          <w:sz w:val="24"/>
          <w:szCs w:val="24"/>
        </w:rPr>
        <w:t>91</w:t>
      </w:r>
      <w:r w:rsidR="007057BB">
        <w:rPr>
          <w:sz w:val="24"/>
          <w:szCs w:val="24"/>
        </w:rPr>
        <w:t xml:space="preserve"> </w:t>
      </w:r>
      <w:r w:rsidR="007057BB" w:rsidRPr="007057BB">
        <w:rPr>
          <w:color w:val="FF0000"/>
          <w:sz w:val="24"/>
          <w:szCs w:val="24"/>
        </w:rPr>
        <w:t>[EF.2509]</w:t>
      </w:r>
      <w:r w:rsidR="001F3133" w:rsidRPr="00380E0D">
        <w:rPr>
          <w:sz w:val="24"/>
          <w:szCs w:val="24"/>
        </w:rPr>
        <w:t>)</w:t>
      </w:r>
      <w:r w:rsidR="00136929" w:rsidRPr="00380E0D">
        <w:rPr>
          <w:sz w:val="24"/>
          <w:szCs w:val="24"/>
        </w:rPr>
        <w:t xml:space="preserve"> </w:t>
      </w:r>
      <w:r w:rsidR="001F3133" w:rsidRPr="00380E0D">
        <w:rPr>
          <w:sz w:val="24"/>
          <w:szCs w:val="24"/>
        </w:rPr>
        <w:t xml:space="preserve">or as per </w:t>
      </w:r>
      <w:r w:rsidR="001F3133" w:rsidRPr="00380E0D">
        <w:rPr>
          <w:i/>
          <w:iCs/>
          <w:sz w:val="24"/>
          <w:szCs w:val="24"/>
          <w:u w:val="single"/>
        </w:rPr>
        <w:t>A</w:t>
      </w:r>
      <w:r w:rsidR="001F3133" w:rsidRPr="00380E0D">
        <w:rPr>
          <w:sz w:val="24"/>
          <w:szCs w:val="24"/>
        </w:rPr>
        <w:t xml:space="preserve"> that they had “</w:t>
      </w:r>
      <w:r w:rsidR="001F3133" w:rsidRPr="00380E0D">
        <w:rPr>
          <w:i/>
          <w:iCs/>
          <w:sz w:val="24"/>
          <w:szCs w:val="24"/>
        </w:rPr>
        <w:t>done everything that she possibly could do to align her physical identity with her psychological identity</w:t>
      </w:r>
      <w:r w:rsidR="001F3133" w:rsidRPr="00380E0D">
        <w:rPr>
          <w:sz w:val="24"/>
          <w:szCs w:val="24"/>
        </w:rPr>
        <w:t xml:space="preserve">” (§61).  </w:t>
      </w:r>
      <w:bookmarkStart w:id="3" w:name="_Hlk179965659"/>
      <w:r w:rsidR="00565CC6" w:rsidRPr="00380E0D">
        <w:rPr>
          <w:sz w:val="24"/>
          <w:szCs w:val="24"/>
        </w:rPr>
        <w:t>And while</w:t>
      </w:r>
      <w:r w:rsidR="00136929" w:rsidRPr="00380E0D">
        <w:rPr>
          <w:sz w:val="24"/>
          <w:szCs w:val="24"/>
        </w:rPr>
        <w:t xml:space="preserve"> the requirements under the GRA are tightly </w:t>
      </w:r>
      <w:r w:rsidR="009E53B0" w:rsidRPr="00380E0D">
        <w:rPr>
          <w:sz w:val="24"/>
          <w:szCs w:val="24"/>
        </w:rPr>
        <w:t>circumscribed</w:t>
      </w:r>
      <w:r w:rsidR="009E2AC3" w:rsidRPr="00380E0D">
        <w:rPr>
          <w:sz w:val="24"/>
          <w:szCs w:val="24"/>
        </w:rPr>
        <w:t>, t</w:t>
      </w:r>
      <w:r w:rsidR="00136929" w:rsidRPr="00380E0D">
        <w:rPr>
          <w:sz w:val="24"/>
          <w:szCs w:val="24"/>
        </w:rPr>
        <w:t xml:space="preserve">he </w:t>
      </w:r>
      <w:r w:rsidR="009E2AC3" w:rsidRPr="00380E0D">
        <w:rPr>
          <w:sz w:val="24"/>
          <w:szCs w:val="24"/>
        </w:rPr>
        <w:t>effect</w:t>
      </w:r>
      <w:r w:rsidR="00136929" w:rsidRPr="00380E0D">
        <w:rPr>
          <w:sz w:val="24"/>
          <w:szCs w:val="24"/>
        </w:rPr>
        <w:t xml:space="preserve"> of </w:t>
      </w:r>
      <w:r w:rsidR="00565CC6" w:rsidRPr="00380E0D">
        <w:rPr>
          <w:sz w:val="24"/>
          <w:szCs w:val="24"/>
        </w:rPr>
        <w:t>the</w:t>
      </w:r>
      <w:r w:rsidR="00136929" w:rsidRPr="00380E0D">
        <w:rPr>
          <w:sz w:val="24"/>
          <w:szCs w:val="24"/>
        </w:rPr>
        <w:t xml:space="preserve"> </w:t>
      </w:r>
      <w:r w:rsidR="009E2AC3" w:rsidRPr="00380E0D">
        <w:rPr>
          <w:sz w:val="24"/>
          <w:szCs w:val="24"/>
        </w:rPr>
        <w:t>restrictions</w:t>
      </w:r>
      <w:r w:rsidR="00A26251" w:rsidRPr="00380E0D">
        <w:rPr>
          <w:sz w:val="24"/>
          <w:szCs w:val="24"/>
        </w:rPr>
        <w:t>,</w:t>
      </w:r>
      <w:r w:rsidR="00136929" w:rsidRPr="00380E0D">
        <w:rPr>
          <w:sz w:val="24"/>
          <w:szCs w:val="24"/>
        </w:rPr>
        <w:t xml:space="preserve"> </w:t>
      </w:r>
      <w:r w:rsidR="00565CC6" w:rsidRPr="00380E0D">
        <w:rPr>
          <w:sz w:val="24"/>
          <w:szCs w:val="24"/>
        </w:rPr>
        <w:t>as chosen by Parliament</w:t>
      </w:r>
      <w:r w:rsidR="00EA6128" w:rsidRPr="00380E0D">
        <w:rPr>
          <w:sz w:val="24"/>
          <w:szCs w:val="24"/>
        </w:rPr>
        <w:t>,</w:t>
      </w:r>
      <w:r w:rsidR="00565CC6" w:rsidRPr="00380E0D">
        <w:rPr>
          <w:sz w:val="24"/>
          <w:szCs w:val="24"/>
        </w:rPr>
        <w:t xml:space="preserve"> </w:t>
      </w:r>
      <w:r w:rsidR="00136929" w:rsidRPr="00380E0D">
        <w:rPr>
          <w:sz w:val="24"/>
          <w:szCs w:val="24"/>
        </w:rPr>
        <w:t>are that</w:t>
      </w:r>
      <w:r w:rsidR="00BD13CD" w:rsidRPr="00380E0D">
        <w:rPr>
          <w:sz w:val="24"/>
          <w:szCs w:val="24"/>
        </w:rPr>
        <w:t xml:space="preserve"> </w:t>
      </w:r>
      <w:r w:rsidR="00136929" w:rsidRPr="00380E0D">
        <w:rPr>
          <w:sz w:val="24"/>
          <w:szCs w:val="24"/>
        </w:rPr>
        <w:t xml:space="preserve">one cannot </w:t>
      </w:r>
      <w:r w:rsidR="00597268" w:rsidRPr="00380E0D">
        <w:rPr>
          <w:sz w:val="24"/>
          <w:szCs w:val="24"/>
        </w:rPr>
        <w:t>proceed on the assumption</w:t>
      </w:r>
      <w:r w:rsidR="00136929" w:rsidRPr="00380E0D">
        <w:rPr>
          <w:sz w:val="24"/>
          <w:szCs w:val="24"/>
        </w:rPr>
        <w:t xml:space="preserve"> everyone who has a GRC is the category envisaged in </w:t>
      </w:r>
      <w:r w:rsidR="00136929" w:rsidRPr="00380E0D">
        <w:rPr>
          <w:i/>
          <w:iCs/>
          <w:sz w:val="24"/>
          <w:szCs w:val="24"/>
          <w:u w:val="single"/>
        </w:rPr>
        <w:t>Goodwin</w:t>
      </w:r>
      <w:r w:rsidR="00BC4D86" w:rsidRPr="00380E0D">
        <w:rPr>
          <w:sz w:val="24"/>
          <w:szCs w:val="24"/>
        </w:rPr>
        <w:t xml:space="preserve"> or</w:t>
      </w:r>
      <w:r w:rsidR="00BC4D86" w:rsidRPr="00380E0D">
        <w:rPr>
          <w:i/>
          <w:iCs/>
          <w:sz w:val="24"/>
          <w:szCs w:val="24"/>
        </w:rPr>
        <w:t xml:space="preserve"> </w:t>
      </w:r>
      <w:r w:rsidR="00BC4D86" w:rsidRPr="00380E0D">
        <w:rPr>
          <w:i/>
          <w:iCs/>
          <w:sz w:val="24"/>
          <w:szCs w:val="24"/>
          <w:u w:val="single"/>
        </w:rPr>
        <w:t>A</w:t>
      </w:r>
      <w:r w:rsidR="00404351" w:rsidRPr="00380E0D">
        <w:rPr>
          <w:sz w:val="24"/>
          <w:szCs w:val="24"/>
        </w:rPr>
        <w:t>:</w:t>
      </w:r>
      <w:r w:rsidR="00EA6128" w:rsidRPr="00380E0D">
        <w:rPr>
          <w:sz w:val="24"/>
          <w:szCs w:val="24"/>
        </w:rPr>
        <w:t xml:space="preserve"> it was intended </w:t>
      </w:r>
      <w:r w:rsidR="00404351" w:rsidRPr="00380E0D">
        <w:rPr>
          <w:sz w:val="24"/>
          <w:szCs w:val="24"/>
        </w:rPr>
        <w:t xml:space="preserve">by Parliament </w:t>
      </w:r>
      <w:r w:rsidR="00EA6128" w:rsidRPr="00380E0D">
        <w:rPr>
          <w:sz w:val="24"/>
          <w:szCs w:val="24"/>
        </w:rPr>
        <w:t>to be</w:t>
      </w:r>
      <w:r w:rsidR="00404351" w:rsidRPr="00380E0D">
        <w:rPr>
          <w:sz w:val="24"/>
          <w:szCs w:val="24"/>
        </w:rPr>
        <w:t>,</w:t>
      </w:r>
      <w:r w:rsidR="00EA6128" w:rsidRPr="00380E0D">
        <w:rPr>
          <w:sz w:val="24"/>
          <w:szCs w:val="24"/>
        </w:rPr>
        <w:t xml:space="preserve"> and is</w:t>
      </w:r>
      <w:r w:rsidR="00E0699B" w:rsidRPr="00380E0D">
        <w:rPr>
          <w:sz w:val="24"/>
          <w:szCs w:val="24"/>
        </w:rPr>
        <w:t>,</w:t>
      </w:r>
      <w:r w:rsidR="00EA6128" w:rsidRPr="00380E0D">
        <w:rPr>
          <w:sz w:val="24"/>
          <w:szCs w:val="24"/>
        </w:rPr>
        <w:t xml:space="preserve"> broader than that</w:t>
      </w:r>
      <w:r w:rsidR="00BD13CD" w:rsidRPr="00380E0D">
        <w:rPr>
          <w:sz w:val="24"/>
          <w:szCs w:val="24"/>
        </w:rPr>
        <w:t xml:space="preserve">. </w:t>
      </w:r>
      <w:bookmarkEnd w:id="3"/>
      <w:r w:rsidR="00BD13CD" w:rsidRPr="00380E0D">
        <w:rPr>
          <w:sz w:val="24"/>
          <w:szCs w:val="24"/>
        </w:rPr>
        <w:t xml:space="preserve"> </w:t>
      </w:r>
    </w:p>
    <w:p w14:paraId="4B5CE4AC" w14:textId="77777777" w:rsidR="00067086" w:rsidRPr="00536BFF" w:rsidRDefault="00067086" w:rsidP="00EA6128">
      <w:pPr>
        <w:rPr>
          <w:i/>
          <w:iCs/>
          <w:sz w:val="16"/>
          <w:szCs w:val="16"/>
          <w:u w:val="single"/>
        </w:rPr>
      </w:pPr>
    </w:p>
    <w:p w14:paraId="341C5465" w14:textId="52FE3311" w:rsidR="00067086" w:rsidRPr="00380E0D" w:rsidRDefault="00565CC6" w:rsidP="00067086">
      <w:pPr>
        <w:pStyle w:val="ListParagraph"/>
        <w:numPr>
          <w:ilvl w:val="0"/>
          <w:numId w:val="1"/>
        </w:numPr>
        <w:spacing w:line="360" w:lineRule="auto"/>
        <w:jc w:val="both"/>
        <w:rPr>
          <w:sz w:val="24"/>
          <w:szCs w:val="24"/>
        </w:rPr>
      </w:pPr>
      <w:r w:rsidRPr="00380E0D">
        <w:rPr>
          <w:sz w:val="24"/>
          <w:szCs w:val="24"/>
        </w:rPr>
        <w:t>As foreshadowed above, it is the Commission’s longstanding position</w:t>
      </w:r>
      <w:r w:rsidR="00B8077D" w:rsidRPr="00380E0D">
        <w:rPr>
          <w:sz w:val="24"/>
          <w:szCs w:val="24"/>
        </w:rPr>
        <w:t xml:space="preserve"> </w:t>
      </w:r>
      <w:r w:rsidRPr="00380E0D">
        <w:rPr>
          <w:sz w:val="24"/>
          <w:szCs w:val="24"/>
        </w:rPr>
        <w:t xml:space="preserve">that </w:t>
      </w:r>
      <w:r w:rsidR="009E53B0" w:rsidRPr="00380E0D">
        <w:rPr>
          <w:sz w:val="24"/>
          <w:szCs w:val="24"/>
        </w:rPr>
        <w:t>it</w:t>
      </w:r>
      <w:r w:rsidR="00067086" w:rsidRPr="00380E0D">
        <w:rPr>
          <w:sz w:val="24"/>
          <w:szCs w:val="24"/>
        </w:rPr>
        <w:t xml:space="preserve"> was intended by Parliament that the terms “</w:t>
      </w:r>
      <w:r w:rsidR="00067086" w:rsidRPr="00380E0D">
        <w:rPr>
          <w:i/>
          <w:iCs/>
          <w:sz w:val="24"/>
          <w:szCs w:val="24"/>
        </w:rPr>
        <w:t>sex</w:t>
      </w:r>
      <w:r w:rsidR="00067086" w:rsidRPr="00380E0D">
        <w:rPr>
          <w:sz w:val="24"/>
          <w:szCs w:val="24"/>
        </w:rPr>
        <w:t>” and “</w:t>
      </w:r>
      <w:r w:rsidR="00067086" w:rsidRPr="00380E0D">
        <w:rPr>
          <w:i/>
          <w:iCs/>
          <w:sz w:val="24"/>
          <w:szCs w:val="24"/>
        </w:rPr>
        <w:t>man</w:t>
      </w:r>
      <w:r w:rsidR="00067086" w:rsidRPr="00380E0D">
        <w:rPr>
          <w:sz w:val="24"/>
          <w:szCs w:val="24"/>
        </w:rPr>
        <w:t>” and “</w:t>
      </w:r>
      <w:r w:rsidR="00067086" w:rsidRPr="00380E0D">
        <w:rPr>
          <w:i/>
          <w:iCs/>
          <w:sz w:val="24"/>
          <w:szCs w:val="24"/>
        </w:rPr>
        <w:t>woman</w:t>
      </w:r>
      <w:r w:rsidR="00067086" w:rsidRPr="00380E0D">
        <w:rPr>
          <w:sz w:val="24"/>
          <w:szCs w:val="24"/>
        </w:rPr>
        <w:t xml:space="preserve">” </w:t>
      </w:r>
      <w:r w:rsidR="009E53B0" w:rsidRPr="00380E0D">
        <w:rPr>
          <w:sz w:val="24"/>
          <w:szCs w:val="24"/>
        </w:rPr>
        <w:t xml:space="preserve">in equality law refer not only to natal sex but also to </w:t>
      </w:r>
      <w:r w:rsidR="00067086" w:rsidRPr="00380E0D">
        <w:rPr>
          <w:sz w:val="24"/>
          <w:szCs w:val="24"/>
        </w:rPr>
        <w:t>certified sex</w:t>
      </w:r>
      <w:r w:rsidR="009E53B0" w:rsidRPr="00380E0D">
        <w:rPr>
          <w:sz w:val="24"/>
          <w:szCs w:val="24"/>
        </w:rPr>
        <w:t xml:space="preserve"> where a GRC has been issued</w:t>
      </w:r>
      <w:r w:rsidR="00067086" w:rsidRPr="00380E0D">
        <w:rPr>
          <w:sz w:val="24"/>
          <w:szCs w:val="24"/>
        </w:rPr>
        <w:t>.</w:t>
      </w:r>
      <w:r w:rsidR="002F53F1" w:rsidRPr="00380E0D">
        <w:rPr>
          <w:rStyle w:val="FootnoteReference"/>
          <w:sz w:val="24"/>
          <w:szCs w:val="24"/>
        </w:rPr>
        <w:t xml:space="preserve"> </w:t>
      </w:r>
      <w:r w:rsidR="002F53F1" w:rsidRPr="00380E0D">
        <w:rPr>
          <w:rStyle w:val="FootnoteReference"/>
          <w:sz w:val="24"/>
          <w:szCs w:val="24"/>
        </w:rPr>
        <w:footnoteReference w:id="8"/>
      </w:r>
      <w:r w:rsidR="00067086" w:rsidRPr="00380E0D">
        <w:rPr>
          <w:sz w:val="24"/>
          <w:szCs w:val="24"/>
        </w:rPr>
        <w:t xml:space="preserve">  That is</w:t>
      </w:r>
      <w:r w:rsidR="00FB0B39" w:rsidRPr="00380E0D">
        <w:rPr>
          <w:sz w:val="24"/>
          <w:szCs w:val="24"/>
        </w:rPr>
        <w:t xml:space="preserve"> the effect of s.9(1)</w:t>
      </w:r>
      <w:r w:rsidR="002561C4" w:rsidRPr="00380E0D">
        <w:rPr>
          <w:sz w:val="24"/>
          <w:szCs w:val="24"/>
        </w:rPr>
        <w:t xml:space="preserve"> GRA on the </w:t>
      </w:r>
      <w:proofErr w:type="spellStart"/>
      <w:r w:rsidR="002561C4" w:rsidRPr="00380E0D">
        <w:rPr>
          <w:sz w:val="24"/>
          <w:szCs w:val="24"/>
        </w:rPr>
        <w:t>EqA</w:t>
      </w:r>
      <w:proofErr w:type="spellEnd"/>
      <w:r w:rsidR="006E043B" w:rsidRPr="00380E0D">
        <w:rPr>
          <w:sz w:val="24"/>
          <w:szCs w:val="24"/>
        </w:rPr>
        <w:t xml:space="preserve">, that (see </w:t>
      </w:r>
      <w:r w:rsidR="00FB0B39" w:rsidRPr="00380E0D">
        <w:rPr>
          <w:sz w:val="24"/>
          <w:szCs w:val="24"/>
        </w:rPr>
        <w:t xml:space="preserve">Lord Nicholls in </w:t>
      </w:r>
      <w:r w:rsidR="00FB0B39" w:rsidRPr="00380E0D">
        <w:rPr>
          <w:i/>
          <w:iCs/>
          <w:sz w:val="24"/>
          <w:szCs w:val="24"/>
          <w:u w:val="single"/>
        </w:rPr>
        <w:t>Bellinger</w:t>
      </w:r>
      <w:r w:rsidR="00FB0B39" w:rsidRPr="00380E0D">
        <w:rPr>
          <w:sz w:val="24"/>
          <w:szCs w:val="24"/>
        </w:rPr>
        <w:t>,</w:t>
      </w:r>
      <w:r w:rsidR="006E043B" w:rsidRPr="00380E0D">
        <w:rPr>
          <w:sz w:val="24"/>
          <w:szCs w:val="24"/>
        </w:rPr>
        <w:t xml:space="preserve"> §36)</w:t>
      </w:r>
      <w:r w:rsidR="00FB0B39" w:rsidRPr="00380E0D">
        <w:rPr>
          <w:sz w:val="24"/>
          <w:szCs w:val="24"/>
        </w:rPr>
        <w:t xml:space="preserve"> </w:t>
      </w:r>
      <w:r w:rsidR="00067086" w:rsidRPr="00380E0D">
        <w:rPr>
          <w:sz w:val="24"/>
          <w:szCs w:val="24"/>
        </w:rPr>
        <w:t xml:space="preserve">in law </w:t>
      </w:r>
      <w:r w:rsidR="00F558D4" w:rsidRPr="00380E0D">
        <w:rPr>
          <w:sz w:val="24"/>
          <w:szCs w:val="24"/>
        </w:rPr>
        <w:t>“</w:t>
      </w:r>
      <w:r w:rsidR="00F558D4" w:rsidRPr="00380E0D">
        <w:rPr>
          <w:i/>
          <w:iCs/>
          <w:sz w:val="24"/>
          <w:szCs w:val="24"/>
        </w:rPr>
        <w:t>a person may be born with one sex but later become, or become regarded as, a person of the opposite sex</w:t>
      </w:r>
      <w:r w:rsidR="00067086" w:rsidRPr="00380E0D">
        <w:rPr>
          <w:sz w:val="24"/>
          <w:szCs w:val="24"/>
        </w:rPr>
        <w:t>”</w:t>
      </w:r>
      <w:r w:rsidR="003977F6">
        <w:rPr>
          <w:sz w:val="24"/>
          <w:szCs w:val="24"/>
        </w:rPr>
        <w:t xml:space="preserve"> </w:t>
      </w:r>
      <w:r w:rsidR="003977F6" w:rsidRPr="003977F6">
        <w:rPr>
          <w:color w:val="FF0000"/>
          <w:sz w:val="24"/>
          <w:szCs w:val="24"/>
        </w:rPr>
        <w:t>[EF.1570]</w:t>
      </w:r>
      <w:r w:rsidR="00067086" w:rsidRPr="00380E0D">
        <w:rPr>
          <w:sz w:val="24"/>
          <w:szCs w:val="24"/>
        </w:rPr>
        <w:t>.</w:t>
      </w:r>
      <w:r w:rsidR="007E7F31" w:rsidRPr="00380E0D">
        <w:rPr>
          <w:sz w:val="24"/>
          <w:szCs w:val="24"/>
        </w:rPr>
        <w:t xml:space="preserve"> </w:t>
      </w:r>
    </w:p>
    <w:p w14:paraId="1BE94897" w14:textId="77777777" w:rsidR="00565CC6" w:rsidRPr="00536BFF" w:rsidRDefault="00565CC6" w:rsidP="00565CC6">
      <w:pPr>
        <w:pStyle w:val="ListParagraph"/>
        <w:spacing w:line="360" w:lineRule="auto"/>
        <w:ind w:left="794"/>
        <w:jc w:val="both"/>
        <w:rPr>
          <w:sz w:val="16"/>
          <w:szCs w:val="16"/>
        </w:rPr>
      </w:pPr>
    </w:p>
    <w:p w14:paraId="5A818C56" w14:textId="44EB28D6" w:rsidR="00B349E1" w:rsidRPr="00380E0D" w:rsidRDefault="00565CC6" w:rsidP="00565CC6">
      <w:pPr>
        <w:pStyle w:val="ListParagraph"/>
        <w:numPr>
          <w:ilvl w:val="0"/>
          <w:numId w:val="1"/>
        </w:numPr>
        <w:spacing w:line="360" w:lineRule="auto"/>
        <w:jc w:val="both"/>
        <w:rPr>
          <w:sz w:val="24"/>
          <w:szCs w:val="24"/>
        </w:rPr>
      </w:pPr>
      <w:r w:rsidRPr="00380E0D">
        <w:rPr>
          <w:sz w:val="24"/>
          <w:szCs w:val="24"/>
        </w:rPr>
        <w:t xml:space="preserve">The starting </w:t>
      </w:r>
      <w:r w:rsidR="006E043B" w:rsidRPr="00380E0D">
        <w:rPr>
          <w:sz w:val="24"/>
          <w:szCs w:val="24"/>
        </w:rPr>
        <w:t xml:space="preserve">point </w:t>
      </w:r>
      <w:r w:rsidR="00FD6F7F" w:rsidRPr="00380E0D">
        <w:rPr>
          <w:sz w:val="24"/>
          <w:szCs w:val="24"/>
        </w:rPr>
        <w:t>of the analysis</w:t>
      </w:r>
      <w:r w:rsidR="00CF7207" w:rsidRPr="00380E0D">
        <w:rPr>
          <w:sz w:val="24"/>
          <w:szCs w:val="24"/>
        </w:rPr>
        <w:t xml:space="preserve"> of the terms of the GRA</w:t>
      </w:r>
      <w:r w:rsidR="00FD6F7F" w:rsidRPr="00380E0D">
        <w:rPr>
          <w:sz w:val="24"/>
          <w:szCs w:val="24"/>
        </w:rPr>
        <w:t xml:space="preserve"> </w:t>
      </w:r>
      <w:r w:rsidR="00597268" w:rsidRPr="00380E0D">
        <w:rPr>
          <w:sz w:val="24"/>
          <w:szCs w:val="24"/>
        </w:rPr>
        <w:t xml:space="preserve">is the </w:t>
      </w:r>
      <w:r w:rsidR="006E043B" w:rsidRPr="00380E0D">
        <w:rPr>
          <w:sz w:val="24"/>
          <w:szCs w:val="24"/>
        </w:rPr>
        <w:t xml:space="preserve">broad </w:t>
      </w:r>
      <w:r w:rsidR="00B349E1" w:rsidRPr="00380E0D">
        <w:rPr>
          <w:sz w:val="24"/>
          <w:szCs w:val="24"/>
        </w:rPr>
        <w:t>language used in s.</w:t>
      </w:r>
      <w:r w:rsidR="00CF7207" w:rsidRPr="00380E0D">
        <w:rPr>
          <w:sz w:val="24"/>
          <w:szCs w:val="24"/>
        </w:rPr>
        <w:t xml:space="preserve"> </w:t>
      </w:r>
      <w:r w:rsidR="00B349E1" w:rsidRPr="00380E0D">
        <w:rPr>
          <w:sz w:val="24"/>
          <w:szCs w:val="24"/>
        </w:rPr>
        <w:t>9(1</w:t>
      </w:r>
      <w:r w:rsidR="001D45B2" w:rsidRPr="00380E0D">
        <w:rPr>
          <w:sz w:val="24"/>
          <w:szCs w:val="24"/>
        </w:rPr>
        <w:t>) which provides that</w:t>
      </w:r>
      <w:r w:rsidR="006E043B" w:rsidRPr="00380E0D">
        <w:rPr>
          <w:sz w:val="24"/>
          <w:szCs w:val="24"/>
        </w:rPr>
        <w:t xml:space="preserve"> the effect of issuing a GRC is to change a person’s gender and sex (both terms are used) “</w:t>
      </w:r>
      <w:r w:rsidR="006E043B" w:rsidRPr="00380E0D">
        <w:rPr>
          <w:i/>
          <w:iCs/>
          <w:sz w:val="24"/>
          <w:szCs w:val="24"/>
        </w:rPr>
        <w:t>for all purposes</w:t>
      </w:r>
      <w:r w:rsidR="006E043B" w:rsidRPr="00380E0D">
        <w:rPr>
          <w:sz w:val="24"/>
          <w:szCs w:val="24"/>
        </w:rPr>
        <w:t>”.</w:t>
      </w:r>
      <w:r w:rsidR="00CF7207" w:rsidRPr="00380E0D">
        <w:rPr>
          <w:sz w:val="24"/>
          <w:szCs w:val="24"/>
        </w:rPr>
        <w:t xml:space="preserve">  “</w:t>
      </w:r>
      <w:r w:rsidR="00CF7207" w:rsidRPr="00380E0D">
        <w:rPr>
          <w:i/>
          <w:iCs/>
          <w:sz w:val="24"/>
          <w:szCs w:val="24"/>
        </w:rPr>
        <w:t>For all purposes</w:t>
      </w:r>
      <w:r w:rsidR="00CF7207" w:rsidRPr="00380E0D">
        <w:rPr>
          <w:sz w:val="24"/>
          <w:szCs w:val="24"/>
        </w:rPr>
        <w:t xml:space="preserve">” must, in principle, include for the </w:t>
      </w:r>
      <w:r w:rsidR="00CF7207" w:rsidRPr="00380E0D">
        <w:rPr>
          <w:sz w:val="24"/>
          <w:szCs w:val="24"/>
        </w:rPr>
        <w:lastRenderedPageBreak/>
        <w:t>purposes of other legislation whose application is affected by the sex of an individual</w:t>
      </w:r>
      <w:r w:rsidR="00980BFE" w:rsidRPr="00380E0D">
        <w:rPr>
          <w:sz w:val="24"/>
          <w:szCs w:val="24"/>
        </w:rPr>
        <w:t xml:space="preserve"> and s. 9(2) confirms that one of the purposes referred to in s. 9(1) is “</w:t>
      </w:r>
      <w:r w:rsidR="00980BFE" w:rsidRPr="00380E0D">
        <w:rPr>
          <w:i/>
          <w:iCs/>
          <w:sz w:val="24"/>
          <w:szCs w:val="24"/>
        </w:rPr>
        <w:t>the interpretation of enactments</w:t>
      </w:r>
      <w:r w:rsidR="00980BFE" w:rsidRPr="00380E0D">
        <w:rPr>
          <w:sz w:val="24"/>
          <w:szCs w:val="24"/>
        </w:rPr>
        <w:t xml:space="preserve">”, whether made before or after the issue of a GRC.  </w:t>
      </w:r>
      <w:r w:rsidR="006E043B" w:rsidRPr="00380E0D">
        <w:rPr>
          <w:sz w:val="24"/>
          <w:szCs w:val="24"/>
        </w:rPr>
        <w:t>As stated in the Explanatory Notes to the GRA at §4</w:t>
      </w:r>
      <w:r w:rsidR="00CF7207" w:rsidRPr="00380E0D">
        <w:rPr>
          <w:sz w:val="24"/>
          <w:szCs w:val="24"/>
        </w:rPr>
        <w:t>:</w:t>
      </w:r>
      <w:r w:rsidR="006E043B" w:rsidRPr="00380E0D">
        <w:rPr>
          <w:sz w:val="24"/>
          <w:szCs w:val="24"/>
        </w:rPr>
        <w:t xml:space="preserve"> “</w:t>
      </w:r>
      <w:r w:rsidR="006E043B" w:rsidRPr="00380E0D">
        <w:rPr>
          <w:i/>
          <w:iCs/>
          <w:sz w:val="24"/>
          <w:szCs w:val="24"/>
        </w:rPr>
        <w:t>In practical terms, legal recognition will have the effect that, for example, a male-to-female transsexual person will be legally recognised as a woman in English law</w:t>
      </w:r>
      <w:r w:rsidR="006E043B" w:rsidRPr="00380E0D">
        <w:rPr>
          <w:sz w:val="24"/>
          <w:szCs w:val="24"/>
        </w:rPr>
        <w:t>.”</w:t>
      </w:r>
      <w:r w:rsidR="006E043B" w:rsidRPr="00380E0D">
        <w:rPr>
          <w:rStyle w:val="FootnoteReference"/>
          <w:sz w:val="24"/>
          <w:szCs w:val="24"/>
        </w:rPr>
        <w:footnoteReference w:id="9"/>
      </w:r>
      <w:r w:rsidR="00897AD1" w:rsidRPr="00380E0D">
        <w:rPr>
          <w:sz w:val="24"/>
          <w:szCs w:val="24"/>
        </w:rPr>
        <w:t xml:space="preserve"> </w:t>
      </w:r>
      <w:r w:rsidR="00980BFE" w:rsidRPr="00380E0D">
        <w:rPr>
          <w:sz w:val="24"/>
          <w:szCs w:val="24"/>
        </w:rPr>
        <w:t>§§</w:t>
      </w:r>
      <w:r w:rsidR="00897AD1" w:rsidRPr="00380E0D">
        <w:rPr>
          <w:sz w:val="24"/>
          <w:szCs w:val="24"/>
        </w:rPr>
        <w:t>27-29 of the Explanatory Notes make clear that the Government’s intention was that the s. 9(1) principle would apply to equality law.  §27 states</w:t>
      </w:r>
      <w:r w:rsidR="00980BFE" w:rsidRPr="00380E0D">
        <w:rPr>
          <w:sz w:val="24"/>
          <w:szCs w:val="24"/>
        </w:rPr>
        <w:t xml:space="preserve"> with reference to s. 9(1)</w:t>
      </w:r>
      <w:r w:rsidR="00897AD1" w:rsidRPr="00380E0D">
        <w:rPr>
          <w:sz w:val="24"/>
          <w:szCs w:val="24"/>
        </w:rPr>
        <w:t>: “</w:t>
      </w:r>
      <w:r w:rsidR="00897AD1" w:rsidRPr="00380E0D">
        <w:rPr>
          <w:i/>
          <w:iCs/>
          <w:sz w:val="24"/>
          <w:szCs w:val="24"/>
        </w:rPr>
        <w:t xml:space="preserve">Subsection (1) states the fundamental proposition that once a full gender recognition certificate is issued to an applicant, the person’s gender becomes for all purposes the acquired gender, so that an applicant who was born a male would, in law, become a woman for all purposes. </w:t>
      </w:r>
      <w:r w:rsidR="00897AD1" w:rsidRPr="00380E0D">
        <w:rPr>
          <w:i/>
          <w:iCs/>
          <w:sz w:val="24"/>
          <w:szCs w:val="24"/>
          <w:u w:val="single"/>
        </w:rPr>
        <w:t>She would, for example, be entitled to protection as a woman under the Sex Discrimination Act 1975</w:t>
      </w:r>
      <w:r w:rsidR="00897AD1" w:rsidRPr="00380E0D">
        <w:rPr>
          <w:i/>
          <w:iCs/>
          <w:sz w:val="24"/>
          <w:szCs w:val="24"/>
        </w:rPr>
        <w:t xml:space="preserve">; and she would </w:t>
      </w:r>
      <w:proofErr w:type="gramStart"/>
      <w:r w:rsidR="00897AD1" w:rsidRPr="00380E0D">
        <w:rPr>
          <w:i/>
          <w:iCs/>
          <w:sz w:val="24"/>
          <w:szCs w:val="24"/>
        </w:rPr>
        <w:t>be considered to be</w:t>
      </w:r>
      <w:proofErr w:type="gramEnd"/>
      <w:r w:rsidR="00897AD1" w:rsidRPr="00380E0D">
        <w:rPr>
          <w:i/>
          <w:iCs/>
          <w:sz w:val="24"/>
          <w:szCs w:val="24"/>
        </w:rPr>
        <w:t xml:space="preserve"> female for the purposes of section 11(c) of the Matrimonial Causes Act 1973, and so able to contract a valid marriage with a man</w:t>
      </w:r>
      <w:r w:rsidR="00897AD1" w:rsidRPr="00380E0D">
        <w:rPr>
          <w:sz w:val="24"/>
          <w:szCs w:val="24"/>
        </w:rPr>
        <w:t>”</w:t>
      </w:r>
      <w:r w:rsidR="00E123BE">
        <w:rPr>
          <w:sz w:val="24"/>
          <w:szCs w:val="24"/>
        </w:rPr>
        <w:t xml:space="preserve"> (emphasis added).</w:t>
      </w:r>
    </w:p>
    <w:p w14:paraId="6E4B23A2" w14:textId="77777777" w:rsidR="00B349E1" w:rsidRPr="00536BFF" w:rsidRDefault="00B349E1" w:rsidP="00B349E1">
      <w:pPr>
        <w:pStyle w:val="ListParagraph"/>
        <w:spacing w:line="360" w:lineRule="auto"/>
        <w:jc w:val="both"/>
        <w:rPr>
          <w:sz w:val="16"/>
          <w:szCs w:val="16"/>
        </w:rPr>
      </w:pPr>
    </w:p>
    <w:p w14:paraId="29A93130" w14:textId="09E9FAD1" w:rsidR="004F4DB7" w:rsidRPr="00380E0D" w:rsidRDefault="006E043B" w:rsidP="00E46482">
      <w:pPr>
        <w:pStyle w:val="ListParagraph"/>
        <w:numPr>
          <w:ilvl w:val="0"/>
          <w:numId w:val="1"/>
        </w:numPr>
        <w:spacing w:line="360" w:lineRule="auto"/>
        <w:jc w:val="both"/>
        <w:rPr>
          <w:sz w:val="24"/>
          <w:szCs w:val="24"/>
        </w:rPr>
      </w:pPr>
      <w:r w:rsidRPr="00380E0D">
        <w:rPr>
          <w:sz w:val="24"/>
          <w:szCs w:val="24"/>
        </w:rPr>
        <w:t xml:space="preserve">Section </w:t>
      </w:r>
      <w:r w:rsidR="006D23C9" w:rsidRPr="00380E0D">
        <w:rPr>
          <w:sz w:val="24"/>
          <w:szCs w:val="24"/>
        </w:rPr>
        <w:t>9(3)</w:t>
      </w:r>
      <w:r w:rsidRPr="00380E0D">
        <w:rPr>
          <w:sz w:val="24"/>
          <w:szCs w:val="24"/>
        </w:rPr>
        <w:t xml:space="preserve"> </w:t>
      </w:r>
      <w:r w:rsidR="00443929" w:rsidRPr="00380E0D">
        <w:rPr>
          <w:sz w:val="24"/>
          <w:szCs w:val="24"/>
        </w:rPr>
        <w:t>then makes the effect of s.</w:t>
      </w:r>
      <w:r w:rsidR="00980BFE" w:rsidRPr="00380E0D">
        <w:rPr>
          <w:sz w:val="24"/>
          <w:szCs w:val="24"/>
        </w:rPr>
        <w:t xml:space="preserve"> </w:t>
      </w:r>
      <w:r w:rsidR="00443929" w:rsidRPr="00380E0D">
        <w:rPr>
          <w:sz w:val="24"/>
          <w:szCs w:val="24"/>
        </w:rPr>
        <w:t>9(1) “</w:t>
      </w:r>
      <w:r w:rsidR="00443929" w:rsidRPr="00380E0D">
        <w:rPr>
          <w:i/>
          <w:iCs/>
          <w:sz w:val="24"/>
          <w:szCs w:val="24"/>
        </w:rPr>
        <w:t>subject to</w:t>
      </w:r>
      <w:r w:rsidR="00443929" w:rsidRPr="00380E0D">
        <w:rPr>
          <w:sz w:val="24"/>
          <w:szCs w:val="24"/>
        </w:rPr>
        <w:t>”</w:t>
      </w:r>
      <w:r w:rsidR="00980BFE" w:rsidRPr="00380E0D">
        <w:rPr>
          <w:sz w:val="24"/>
          <w:szCs w:val="24"/>
        </w:rPr>
        <w:t xml:space="preserve"> - </w:t>
      </w:r>
      <w:r w:rsidR="00443929" w:rsidRPr="00380E0D">
        <w:rPr>
          <w:sz w:val="24"/>
          <w:szCs w:val="24"/>
        </w:rPr>
        <w:t xml:space="preserve">that is, conditional </w:t>
      </w:r>
      <w:r w:rsidR="004F4DB7" w:rsidRPr="00380E0D">
        <w:rPr>
          <w:sz w:val="24"/>
          <w:szCs w:val="24"/>
        </w:rPr>
        <w:t>up</w:t>
      </w:r>
      <w:r w:rsidR="00443929" w:rsidRPr="00380E0D">
        <w:rPr>
          <w:sz w:val="24"/>
          <w:szCs w:val="24"/>
        </w:rPr>
        <w:t>on</w:t>
      </w:r>
      <w:r w:rsidR="00980BFE" w:rsidRPr="00380E0D">
        <w:rPr>
          <w:sz w:val="24"/>
          <w:szCs w:val="24"/>
        </w:rPr>
        <w:t xml:space="preserve"> –</w:t>
      </w:r>
      <w:r w:rsidR="00443929" w:rsidRPr="00380E0D">
        <w:rPr>
          <w:sz w:val="24"/>
          <w:szCs w:val="24"/>
        </w:rPr>
        <w:t xml:space="preserve"> </w:t>
      </w:r>
      <w:r w:rsidR="00980BFE" w:rsidRPr="00380E0D">
        <w:rPr>
          <w:sz w:val="24"/>
          <w:szCs w:val="24"/>
        </w:rPr>
        <w:t>“</w:t>
      </w:r>
      <w:r w:rsidR="00980BFE" w:rsidRPr="00380E0D">
        <w:rPr>
          <w:i/>
          <w:iCs/>
          <w:sz w:val="24"/>
          <w:szCs w:val="24"/>
        </w:rPr>
        <w:t>provision made by this Act or any other enactment or any subordinate legislation</w:t>
      </w:r>
      <w:r w:rsidR="00980BFE" w:rsidRPr="00380E0D">
        <w:rPr>
          <w:sz w:val="24"/>
          <w:szCs w:val="24"/>
        </w:rPr>
        <w:t>”.</w:t>
      </w:r>
      <w:r w:rsidR="009A6259" w:rsidRPr="00380E0D">
        <w:rPr>
          <w:rStyle w:val="FootnoteReference"/>
          <w:sz w:val="24"/>
          <w:szCs w:val="24"/>
        </w:rPr>
        <w:footnoteReference w:id="10"/>
      </w:r>
      <w:r w:rsidR="00980BFE" w:rsidRPr="00380E0D">
        <w:rPr>
          <w:sz w:val="24"/>
          <w:szCs w:val="24"/>
        </w:rPr>
        <w:t xml:space="preserve"> </w:t>
      </w:r>
      <w:r w:rsidR="00EB5721" w:rsidRPr="00380E0D">
        <w:rPr>
          <w:sz w:val="24"/>
          <w:szCs w:val="24"/>
        </w:rPr>
        <w:t xml:space="preserve">In permitting the general principle of statutory interpretation laid down by s. 9(1) to be disapplied by provision made in other legislation, </w:t>
      </w:r>
      <w:r w:rsidR="00FB0453" w:rsidRPr="00380E0D">
        <w:rPr>
          <w:sz w:val="24"/>
          <w:szCs w:val="24"/>
        </w:rPr>
        <w:t xml:space="preserve">Parliament may have intended that express provision only should suffice:  that is, subsequent legislation which consciously addresses what would ordinarily be the effect of s. 9(1).  The Commission submits, however, that sufficient provision may be made for the purposes of s. 9(3) either expressly </w:t>
      </w:r>
      <w:r w:rsidR="00FB0453" w:rsidRPr="00380E0D">
        <w:rPr>
          <w:sz w:val="24"/>
          <w:szCs w:val="24"/>
          <w:u w:val="single"/>
        </w:rPr>
        <w:t>or</w:t>
      </w:r>
      <w:r w:rsidR="00FB0453" w:rsidRPr="00380E0D">
        <w:rPr>
          <w:sz w:val="24"/>
          <w:szCs w:val="24"/>
        </w:rPr>
        <w:t xml:space="preserve"> by necessary implication</w:t>
      </w:r>
      <w:r w:rsidR="00E46482" w:rsidRPr="00380E0D">
        <w:rPr>
          <w:sz w:val="24"/>
          <w:szCs w:val="24"/>
        </w:rPr>
        <w:t xml:space="preserve">, by analogy with the principle of legality: see </w:t>
      </w:r>
      <w:r w:rsidR="00E46482" w:rsidRPr="00380E0D">
        <w:rPr>
          <w:i/>
          <w:iCs/>
          <w:sz w:val="24"/>
          <w:szCs w:val="24"/>
        </w:rPr>
        <w:t>R (</w:t>
      </w:r>
      <w:proofErr w:type="spellStart"/>
      <w:r w:rsidR="00E46482" w:rsidRPr="00380E0D">
        <w:rPr>
          <w:i/>
          <w:iCs/>
          <w:sz w:val="24"/>
          <w:szCs w:val="24"/>
        </w:rPr>
        <w:t>Anufrijeva</w:t>
      </w:r>
      <w:proofErr w:type="spellEnd"/>
      <w:r w:rsidR="00E46482" w:rsidRPr="00380E0D">
        <w:rPr>
          <w:i/>
          <w:iCs/>
          <w:sz w:val="24"/>
          <w:szCs w:val="24"/>
        </w:rPr>
        <w:t>) v London Borough of Southwark</w:t>
      </w:r>
      <w:r w:rsidR="00E46482" w:rsidRPr="00380E0D">
        <w:rPr>
          <w:sz w:val="24"/>
          <w:szCs w:val="24"/>
        </w:rPr>
        <w:t xml:space="preserve"> [2003] UKHL 36 [2004] 1 AC 604, §27 (“</w:t>
      </w:r>
      <w:r w:rsidR="00E46482" w:rsidRPr="00380E0D">
        <w:rPr>
          <w:i/>
          <w:iCs/>
          <w:sz w:val="24"/>
          <w:szCs w:val="24"/>
        </w:rPr>
        <w:t>In the absence of express language or necessary implication to the contrary, the courts therefore presume that even the most general words were intended to be subject to the basic rights of the individual</w:t>
      </w:r>
      <w:r w:rsidR="00E46482" w:rsidRPr="00380E0D">
        <w:rPr>
          <w:sz w:val="24"/>
          <w:szCs w:val="24"/>
        </w:rPr>
        <w:t>”)</w:t>
      </w:r>
      <w:r w:rsidR="00325766">
        <w:rPr>
          <w:sz w:val="24"/>
          <w:szCs w:val="24"/>
        </w:rPr>
        <w:t xml:space="preserve"> </w:t>
      </w:r>
      <w:r w:rsidR="00325766" w:rsidRPr="00325766">
        <w:rPr>
          <w:color w:val="FF0000"/>
          <w:sz w:val="24"/>
          <w:szCs w:val="24"/>
        </w:rPr>
        <w:t>[EF</w:t>
      </w:r>
      <w:r w:rsidR="00CF01F2">
        <w:rPr>
          <w:color w:val="FF0000"/>
          <w:sz w:val="24"/>
          <w:szCs w:val="24"/>
        </w:rPr>
        <w:t>.1</w:t>
      </w:r>
      <w:r w:rsidR="003977F6">
        <w:rPr>
          <w:color w:val="FF0000"/>
          <w:sz w:val="24"/>
          <w:szCs w:val="24"/>
        </w:rPr>
        <w:t>600</w:t>
      </w:r>
      <w:r w:rsidR="00325766" w:rsidRPr="00325766">
        <w:rPr>
          <w:color w:val="FF0000"/>
          <w:sz w:val="24"/>
          <w:szCs w:val="24"/>
        </w:rPr>
        <w:t>]</w:t>
      </w:r>
      <w:r w:rsidR="00FB0453" w:rsidRPr="00380E0D">
        <w:rPr>
          <w:sz w:val="24"/>
          <w:szCs w:val="24"/>
        </w:rPr>
        <w:t>.</w:t>
      </w:r>
      <w:r w:rsidR="001635DE" w:rsidRPr="00380E0D">
        <w:rPr>
          <w:sz w:val="24"/>
          <w:szCs w:val="24"/>
        </w:rPr>
        <w:t xml:space="preserve"> </w:t>
      </w:r>
      <w:r w:rsidR="00E46482" w:rsidRPr="00380E0D">
        <w:rPr>
          <w:sz w:val="24"/>
          <w:szCs w:val="24"/>
        </w:rPr>
        <w:t xml:space="preserve"> This is an appropriate analogy </w:t>
      </w:r>
      <w:r w:rsidR="001C22B6" w:rsidRPr="00380E0D">
        <w:rPr>
          <w:sz w:val="24"/>
          <w:szCs w:val="24"/>
        </w:rPr>
        <w:t>where what is</w:t>
      </w:r>
      <w:r w:rsidR="00C63BA8" w:rsidRPr="00380E0D">
        <w:rPr>
          <w:sz w:val="24"/>
          <w:szCs w:val="24"/>
        </w:rPr>
        <w:t xml:space="preserve"> at stake is the disapplication of the right conferred upon a </w:t>
      </w:r>
      <w:r w:rsidR="00740FA9" w:rsidRPr="00380E0D">
        <w:rPr>
          <w:sz w:val="24"/>
          <w:szCs w:val="24"/>
        </w:rPr>
        <w:t>person with a GRC</w:t>
      </w:r>
      <w:r w:rsidR="00C63BA8" w:rsidRPr="00380E0D">
        <w:rPr>
          <w:sz w:val="24"/>
          <w:szCs w:val="24"/>
        </w:rPr>
        <w:t xml:space="preserve"> to be treated </w:t>
      </w:r>
      <w:r w:rsidR="00740FA9" w:rsidRPr="00380E0D">
        <w:rPr>
          <w:sz w:val="24"/>
          <w:szCs w:val="24"/>
        </w:rPr>
        <w:t xml:space="preserve">as their acquired gender </w:t>
      </w:r>
      <w:r w:rsidR="00C63BA8" w:rsidRPr="00380E0D">
        <w:rPr>
          <w:sz w:val="24"/>
          <w:szCs w:val="24"/>
        </w:rPr>
        <w:t>for all purposes.</w:t>
      </w:r>
    </w:p>
    <w:p w14:paraId="5AD0C47F" w14:textId="77777777" w:rsidR="004F4DB7" w:rsidRPr="00536BFF" w:rsidRDefault="004F4DB7" w:rsidP="004F4DB7">
      <w:pPr>
        <w:pStyle w:val="ListParagraph"/>
        <w:rPr>
          <w:sz w:val="16"/>
          <w:szCs w:val="16"/>
        </w:rPr>
      </w:pPr>
    </w:p>
    <w:p w14:paraId="4ABB43B6" w14:textId="79FB09C1" w:rsidR="004F4DB7" w:rsidRPr="00380E0D" w:rsidRDefault="003D7960" w:rsidP="004F4DB7">
      <w:pPr>
        <w:pStyle w:val="ListParagraph"/>
        <w:numPr>
          <w:ilvl w:val="0"/>
          <w:numId w:val="1"/>
        </w:numPr>
        <w:spacing w:line="360" w:lineRule="auto"/>
        <w:jc w:val="both"/>
        <w:rPr>
          <w:sz w:val="24"/>
          <w:szCs w:val="24"/>
        </w:rPr>
      </w:pPr>
      <w:bookmarkStart w:id="4" w:name="_Hlk180075251"/>
      <w:r w:rsidRPr="00380E0D">
        <w:rPr>
          <w:sz w:val="24"/>
          <w:szCs w:val="24"/>
        </w:rPr>
        <w:t>The Commission understands that two of the Interveners, Amnesty and</w:t>
      </w:r>
      <w:r w:rsidR="004F4DB7" w:rsidRPr="00380E0D">
        <w:rPr>
          <w:sz w:val="24"/>
          <w:szCs w:val="24"/>
        </w:rPr>
        <w:t xml:space="preserve"> Sex Matters</w:t>
      </w:r>
      <w:r w:rsidR="1CE61EC6" w:rsidRPr="00380E0D">
        <w:rPr>
          <w:sz w:val="24"/>
          <w:szCs w:val="24"/>
        </w:rPr>
        <w:t>,</w:t>
      </w:r>
      <w:r w:rsidRPr="00380E0D">
        <w:rPr>
          <w:sz w:val="24"/>
          <w:szCs w:val="24"/>
        </w:rPr>
        <w:t xml:space="preserve"> propose to submit that assistance in the interpretation of s. 9(3) can be gleaned from the principles applied to statutory deeming provisions</w:t>
      </w:r>
      <w:r w:rsidRPr="00FB40E9">
        <w:rPr>
          <w:i/>
          <w:iCs/>
          <w:sz w:val="24"/>
          <w:szCs w:val="24"/>
        </w:rPr>
        <w:t xml:space="preserve"> </w:t>
      </w:r>
      <w:r w:rsidRPr="00380E0D">
        <w:rPr>
          <w:sz w:val="24"/>
          <w:szCs w:val="24"/>
        </w:rPr>
        <w:t xml:space="preserve">(see </w:t>
      </w:r>
      <w:r w:rsidRPr="00380E0D">
        <w:rPr>
          <w:i/>
          <w:iCs/>
          <w:sz w:val="24"/>
          <w:szCs w:val="24"/>
          <w:u w:val="single"/>
        </w:rPr>
        <w:t xml:space="preserve">Fowler v Revenue and Customs </w:t>
      </w:r>
      <w:proofErr w:type="gramStart"/>
      <w:r w:rsidRPr="00380E0D">
        <w:rPr>
          <w:i/>
          <w:iCs/>
          <w:sz w:val="24"/>
          <w:szCs w:val="24"/>
          <w:u w:val="single"/>
        </w:rPr>
        <w:t xml:space="preserve">Commissioners </w:t>
      </w:r>
      <w:r w:rsidRPr="00380E0D">
        <w:rPr>
          <w:sz w:val="24"/>
          <w:szCs w:val="24"/>
        </w:rPr>
        <w:t xml:space="preserve"> [</w:t>
      </w:r>
      <w:proofErr w:type="gramEnd"/>
      <w:r w:rsidRPr="00380E0D">
        <w:rPr>
          <w:sz w:val="24"/>
          <w:szCs w:val="24"/>
        </w:rPr>
        <w:t>2020] UKSC 22 [2020] 1 W.L.R. 2227, §27</w:t>
      </w:r>
      <w:r w:rsidR="00325766">
        <w:rPr>
          <w:sz w:val="24"/>
          <w:szCs w:val="24"/>
        </w:rPr>
        <w:t xml:space="preserve"> </w:t>
      </w:r>
      <w:r w:rsidR="00325766" w:rsidRPr="00325766">
        <w:rPr>
          <w:color w:val="FF0000"/>
          <w:sz w:val="24"/>
          <w:szCs w:val="24"/>
        </w:rPr>
        <w:t>[EF</w:t>
      </w:r>
      <w:r w:rsidR="00CF01F2">
        <w:rPr>
          <w:color w:val="FF0000"/>
          <w:sz w:val="24"/>
          <w:szCs w:val="24"/>
        </w:rPr>
        <w:t>.2</w:t>
      </w:r>
      <w:r w:rsidR="003977F6">
        <w:rPr>
          <w:color w:val="FF0000"/>
          <w:sz w:val="24"/>
          <w:szCs w:val="24"/>
        </w:rPr>
        <w:t>081</w:t>
      </w:r>
      <w:r w:rsidR="00325766" w:rsidRPr="00325766">
        <w:rPr>
          <w:color w:val="FF0000"/>
          <w:sz w:val="24"/>
          <w:szCs w:val="24"/>
        </w:rPr>
        <w:t>]</w:t>
      </w:r>
      <w:r w:rsidRPr="00380E0D">
        <w:rPr>
          <w:sz w:val="24"/>
          <w:szCs w:val="24"/>
        </w:rPr>
        <w:t xml:space="preserve">).  The Commission has identified </w:t>
      </w:r>
      <w:proofErr w:type="gramStart"/>
      <w:r w:rsidRPr="00380E0D">
        <w:rPr>
          <w:sz w:val="24"/>
          <w:szCs w:val="24"/>
        </w:rPr>
        <w:t xml:space="preserve">a number </w:t>
      </w:r>
      <w:r w:rsidRPr="00380E0D">
        <w:rPr>
          <w:sz w:val="24"/>
          <w:szCs w:val="24"/>
        </w:rPr>
        <w:lastRenderedPageBreak/>
        <w:t>of</w:t>
      </w:r>
      <w:proofErr w:type="gramEnd"/>
      <w:r w:rsidRPr="00380E0D">
        <w:rPr>
          <w:sz w:val="24"/>
          <w:szCs w:val="24"/>
        </w:rPr>
        <w:t xml:space="preserve"> difficulties with that approach.  </w:t>
      </w:r>
      <w:r w:rsidRPr="00380E0D">
        <w:rPr>
          <w:sz w:val="24"/>
          <w:szCs w:val="24"/>
          <w:u w:val="single"/>
        </w:rPr>
        <w:t>First</w:t>
      </w:r>
      <w:r w:rsidRPr="00380E0D">
        <w:rPr>
          <w:sz w:val="24"/>
          <w:szCs w:val="24"/>
        </w:rPr>
        <w:t xml:space="preserve">, it is far from self-evident that s. 9(1) </w:t>
      </w:r>
      <w:r w:rsidR="000263D2" w:rsidRPr="00380E0D">
        <w:rPr>
          <w:sz w:val="24"/>
          <w:szCs w:val="24"/>
        </w:rPr>
        <w:t xml:space="preserve">was intended to be, and </w:t>
      </w:r>
      <w:r w:rsidRPr="00380E0D">
        <w:rPr>
          <w:sz w:val="24"/>
          <w:szCs w:val="24"/>
        </w:rPr>
        <w:t>should properly be described as</w:t>
      </w:r>
      <w:r w:rsidR="000263D2" w:rsidRPr="00380E0D">
        <w:rPr>
          <w:sz w:val="24"/>
          <w:szCs w:val="24"/>
        </w:rPr>
        <w:t>,</w:t>
      </w:r>
      <w:r w:rsidRPr="00380E0D">
        <w:rPr>
          <w:sz w:val="24"/>
          <w:szCs w:val="24"/>
        </w:rPr>
        <w:t xml:space="preserve"> a deeming provision</w:t>
      </w:r>
      <w:r w:rsidR="000263D2" w:rsidRPr="00380E0D">
        <w:rPr>
          <w:sz w:val="24"/>
          <w:szCs w:val="24"/>
        </w:rPr>
        <w:t>, which is commonly regarded as a provision which requires a state of affairs to be treated, by way of artifice or fiction, as something which it is not.</w:t>
      </w:r>
      <w:r w:rsidR="00594F29" w:rsidRPr="00380E0D">
        <w:rPr>
          <w:rStyle w:val="FootnoteReference"/>
          <w:sz w:val="24"/>
          <w:szCs w:val="24"/>
        </w:rPr>
        <w:footnoteReference w:id="11"/>
      </w:r>
      <w:r w:rsidR="000263D2" w:rsidRPr="00380E0D">
        <w:rPr>
          <w:sz w:val="24"/>
          <w:szCs w:val="24"/>
        </w:rPr>
        <w:t xml:space="preserve">  </w:t>
      </w:r>
      <w:r w:rsidR="00F16C97" w:rsidRPr="00380E0D">
        <w:rPr>
          <w:sz w:val="24"/>
          <w:szCs w:val="24"/>
        </w:rPr>
        <w:t>Section 9(1) does not use any of the phrases commonly found in deeming provisions - “</w:t>
      </w:r>
      <w:r w:rsidR="00F16C97" w:rsidRPr="00380E0D">
        <w:rPr>
          <w:i/>
          <w:iCs/>
          <w:sz w:val="24"/>
          <w:szCs w:val="24"/>
        </w:rPr>
        <w:t>shall be deemed</w:t>
      </w:r>
      <w:r w:rsidR="00F16C97" w:rsidRPr="00380E0D">
        <w:rPr>
          <w:sz w:val="24"/>
          <w:szCs w:val="24"/>
        </w:rPr>
        <w:t>” “</w:t>
      </w:r>
      <w:r w:rsidR="00F16C97" w:rsidRPr="00380E0D">
        <w:rPr>
          <w:i/>
          <w:iCs/>
          <w:sz w:val="24"/>
          <w:szCs w:val="24"/>
        </w:rPr>
        <w:t>treated as</w:t>
      </w:r>
      <w:r w:rsidR="00F16C97" w:rsidRPr="00380E0D">
        <w:rPr>
          <w:sz w:val="24"/>
          <w:szCs w:val="24"/>
        </w:rPr>
        <w:t>”, “</w:t>
      </w:r>
      <w:r w:rsidR="00F16C97" w:rsidRPr="00380E0D">
        <w:rPr>
          <w:i/>
          <w:iCs/>
          <w:sz w:val="24"/>
          <w:szCs w:val="24"/>
        </w:rPr>
        <w:t>regarded as</w:t>
      </w:r>
      <w:r w:rsidR="00F16C97" w:rsidRPr="00380E0D">
        <w:rPr>
          <w:sz w:val="24"/>
          <w:szCs w:val="24"/>
        </w:rPr>
        <w:t>” or “</w:t>
      </w:r>
      <w:r w:rsidR="00F16C97" w:rsidRPr="00380E0D">
        <w:rPr>
          <w:i/>
          <w:iCs/>
          <w:sz w:val="24"/>
          <w:szCs w:val="24"/>
        </w:rPr>
        <w:t>taken to be</w:t>
      </w:r>
      <w:r w:rsidR="00F16C97" w:rsidRPr="00380E0D">
        <w:rPr>
          <w:sz w:val="24"/>
          <w:szCs w:val="24"/>
        </w:rPr>
        <w:t xml:space="preserve">” – and does not have the effect of deeming that the biological or natal sex of a person has changed upon issue of a GRC.  Rather, the effect of s. 9(1), and other provisions of the GRA, is that the sex of an individual with a GRC changes for legal purposes, including in the interpretation and application of legislation.  </w:t>
      </w:r>
      <w:r w:rsidR="00F16C97" w:rsidRPr="00380E0D">
        <w:rPr>
          <w:sz w:val="24"/>
          <w:szCs w:val="24"/>
          <w:u w:val="single"/>
        </w:rPr>
        <w:t>Second</w:t>
      </w:r>
      <w:r w:rsidR="00F16C97" w:rsidRPr="00380E0D">
        <w:rPr>
          <w:sz w:val="24"/>
          <w:szCs w:val="24"/>
        </w:rPr>
        <w:t xml:space="preserve">, the dictum from </w:t>
      </w:r>
      <w:r w:rsidR="00F16C97" w:rsidRPr="00380E0D">
        <w:rPr>
          <w:i/>
          <w:iCs/>
          <w:sz w:val="24"/>
          <w:szCs w:val="24"/>
          <w:u w:val="single"/>
        </w:rPr>
        <w:t>Fowler</w:t>
      </w:r>
      <w:r w:rsidR="00F16C97" w:rsidRPr="00380E0D">
        <w:rPr>
          <w:sz w:val="24"/>
          <w:szCs w:val="24"/>
        </w:rPr>
        <w:t xml:space="preserve"> relied upon by Amnesty and Sex Matters assists in identifying the limits of the effect of a deeming provision,  that is, the circumstances in which a fictional or artificial state of affairs must give way to </w:t>
      </w:r>
      <w:r w:rsidR="00594F29" w:rsidRPr="00380E0D">
        <w:rPr>
          <w:sz w:val="24"/>
          <w:szCs w:val="24"/>
        </w:rPr>
        <w:t xml:space="preserve">factual </w:t>
      </w:r>
      <w:r w:rsidR="00F16C97" w:rsidRPr="00380E0D">
        <w:rPr>
          <w:sz w:val="24"/>
          <w:szCs w:val="24"/>
        </w:rPr>
        <w:t>reality</w:t>
      </w:r>
      <w:r w:rsidR="00594F29" w:rsidRPr="00380E0D">
        <w:rPr>
          <w:sz w:val="24"/>
          <w:szCs w:val="24"/>
        </w:rPr>
        <w:t>: “</w:t>
      </w:r>
      <w:r w:rsidR="00594F29" w:rsidRPr="00380E0D">
        <w:rPr>
          <w:i/>
          <w:iCs/>
          <w:sz w:val="24"/>
          <w:szCs w:val="24"/>
        </w:rPr>
        <w:t>A deeming provision should not be applied so far as to produce unjust, absurd or anomalous results, unless the court is compelled to do so by clear language</w:t>
      </w:r>
      <w:r w:rsidR="00594F29" w:rsidRPr="00380E0D">
        <w:rPr>
          <w:sz w:val="24"/>
          <w:szCs w:val="24"/>
        </w:rPr>
        <w:t xml:space="preserve">”.  The issue under s. 9 GRA is different:  </w:t>
      </w:r>
      <w:r w:rsidR="008747D6" w:rsidRPr="00380E0D">
        <w:rPr>
          <w:sz w:val="24"/>
          <w:szCs w:val="24"/>
        </w:rPr>
        <w:t>it is when a principle set out in one provision of legislation (s. 9(1)) is disapplied by, and must give way to, another provision of legislation</w:t>
      </w:r>
      <w:r w:rsidR="00594F29" w:rsidRPr="00380E0D">
        <w:rPr>
          <w:sz w:val="24"/>
          <w:szCs w:val="24"/>
        </w:rPr>
        <w:t xml:space="preserve">.  </w:t>
      </w:r>
      <w:r w:rsidR="00594F29" w:rsidRPr="00380E0D">
        <w:rPr>
          <w:sz w:val="24"/>
          <w:szCs w:val="24"/>
          <w:u w:val="single"/>
        </w:rPr>
        <w:t>Third</w:t>
      </w:r>
      <w:r w:rsidR="00594F29" w:rsidRPr="00380E0D">
        <w:rPr>
          <w:sz w:val="24"/>
          <w:szCs w:val="24"/>
        </w:rPr>
        <w:t>, the circumstances in which the s. 9(1) principle must give way are spelled out in s. 9(3).  Importing the legal principles applicable to deeming provisions would be to import a different test than that stated in s. 9(3), and one which would be far from straightforward to apply (for example, where does</w:t>
      </w:r>
      <w:r w:rsidR="004867AD" w:rsidRPr="00380E0D">
        <w:rPr>
          <w:sz w:val="24"/>
          <w:szCs w:val="24"/>
        </w:rPr>
        <w:t xml:space="preserve"> one</w:t>
      </w:r>
      <w:r w:rsidR="00594F29" w:rsidRPr="00380E0D">
        <w:rPr>
          <w:sz w:val="24"/>
          <w:szCs w:val="24"/>
        </w:rPr>
        <w:t xml:space="preserve"> look for “</w:t>
      </w:r>
      <w:r w:rsidR="00594F29" w:rsidRPr="00380E0D">
        <w:rPr>
          <w:i/>
          <w:iCs/>
          <w:sz w:val="24"/>
          <w:szCs w:val="24"/>
        </w:rPr>
        <w:t>clear language</w:t>
      </w:r>
      <w:proofErr w:type="gramStart"/>
      <w:r w:rsidR="00594F29" w:rsidRPr="00380E0D">
        <w:rPr>
          <w:sz w:val="24"/>
          <w:szCs w:val="24"/>
        </w:rPr>
        <w:t>”?</w:t>
      </w:r>
      <w:r w:rsidR="00EA485A">
        <w:rPr>
          <w:sz w:val="24"/>
          <w:szCs w:val="24"/>
        </w:rPr>
        <w:t>;</w:t>
      </w:r>
      <w:proofErr w:type="gramEnd"/>
      <w:r w:rsidR="00EA485A">
        <w:rPr>
          <w:sz w:val="24"/>
          <w:szCs w:val="24"/>
        </w:rPr>
        <w:t xml:space="preserve"> how does one reconcile the fourth and fifth principles in </w:t>
      </w:r>
      <w:r w:rsidR="00EA485A" w:rsidRPr="00FB40E9">
        <w:rPr>
          <w:i/>
          <w:iCs/>
          <w:sz w:val="24"/>
          <w:szCs w:val="24"/>
        </w:rPr>
        <w:t>Fowler</w:t>
      </w:r>
      <w:r w:rsidR="00EA485A">
        <w:rPr>
          <w:sz w:val="24"/>
          <w:szCs w:val="24"/>
        </w:rPr>
        <w:t xml:space="preserve"> in this particular context?</w:t>
      </w:r>
      <w:r w:rsidR="00594F29" w:rsidRPr="00380E0D">
        <w:rPr>
          <w:sz w:val="24"/>
          <w:szCs w:val="24"/>
        </w:rPr>
        <w:t>).</w:t>
      </w:r>
      <w:r w:rsidRPr="00380E0D">
        <w:rPr>
          <w:sz w:val="24"/>
          <w:szCs w:val="24"/>
        </w:rPr>
        <w:t xml:space="preserve"> </w:t>
      </w:r>
    </w:p>
    <w:bookmarkEnd w:id="4"/>
    <w:p w14:paraId="0D2188CB" w14:textId="77777777" w:rsidR="004F4DB7" w:rsidRPr="00536BFF" w:rsidRDefault="004F4DB7" w:rsidP="004F4DB7">
      <w:pPr>
        <w:pStyle w:val="ListParagraph"/>
        <w:rPr>
          <w:sz w:val="16"/>
          <w:szCs w:val="16"/>
        </w:rPr>
      </w:pPr>
    </w:p>
    <w:p w14:paraId="07E395E8" w14:textId="585D0758" w:rsidR="00E9380B" w:rsidRPr="00380E0D" w:rsidRDefault="00897AD1" w:rsidP="00642505">
      <w:pPr>
        <w:pStyle w:val="ListParagraph"/>
        <w:numPr>
          <w:ilvl w:val="0"/>
          <w:numId w:val="1"/>
        </w:numPr>
        <w:spacing w:line="360" w:lineRule="auto"/>
        <w:jc w:val="both"/>
        <w:rPr>
          <w:sz w:val="24"/>
          <w:szCs w:val="24"/>
        </w:rPr>
      </w:pPr>
      <w:r w:rsidRPr="00380E0D">
        <w:rPr>
          <w:sz w:val="24"/>
          <w:szCs w:val="24"/>
        </w:rPr>
        <w:t>Significantly, and as highlighted in §29 of the Explanatory Notes</w:t>
      </w:r>
      <w:r w:rsidR="002C4EB6" w:rsidRPr="00380E0D">
        <w:rPr>
          <w:sz w:val="24"/>
          <w:szCs w:val="24"/>
        </w:rPr>
        <w:t xml:space="preserve"> to the GRA</w:t>
      </w:r>
      <w:r w:rsidRPr="00380E0D">
        <w:rPr>
          <w:sz w:val="24"/>
          <w:szCs w:val="24"/>
        </w:rPr>
        <w:t xml:space="preserve">, it is provision made in </w:t>
      </w:r>
      <w:r w:rsidRPr="00380E0D">
        <w:rPr>
          <w:sz w:val="24"/>
          <w:szCs w:val="24"/>
          <w:u w:val="single"/>
        </w:rPr>
        <w:t>subsequent</w:t>
      </w:r>
      <w:r w:rsidRPr="00380E0D">
        <w:rPr>
          <w:sz w:val="24"/>
          <w:szCs w:val="24"/>
        </w:rPr>
        <w:t xml:space="preserve"> legislation which may alter the effect of s. 9(1). </w:t>
      </w:r>
      <w:r w:rsidR="00AE345D" w:rsidRPr="00380E0D">
        <w:rPr>
          <w:sz w:val="24"/>
          <w:szCs w:val="24"/>
        </w:rPr>
        <w:t xml:space="preserve"> That is indeed the only construction of s. 9(3) which would be consistent with the fundamental principle that a later statute takes precedence over an earlier one and would enable s. 9(1) to have the general effect intended for it (since otherwise existing legislation could take precedence over the new GRA).  </w:t>
      </w:r>
      <w:r w:rsidRPr="00380E0D">
        <w:rPr>
          <w:sz w:val="24"/>
          <w:szCs w:val="24"/>
        </w:rPr>
        <w:t>There can, therefore, be no dispute</w:t>
      </w:r>
      <w:r w:rsidR="00AE345D" w:rsidRPr="00380E0D">
        <w:rPr>
          <w:sz w:val="24"/>
          <w:szCs w:val="24"/>
        </w:rPr>
        <w:t>, and the Appellant appears not to dispute,</w:t>
      </w:r>
      <w:r w:rsidRPr="00380E0D">
        <w:rPr>
          <w:sz w:val="24"/>
          <w:szCs w:val="24"/>
        </w:rPr>
        <w:t xml:space="preserve"> that s. 9(1) operated on the definition of “</w:t>
      </w:r>
      <w:r w:rsidRPr="00380E0D">
        <w:rPr>
          <w:i/>
          <w:iCs/>
          <w:sz w:val="24"/>
          <w:szCs w:val="24"/>
        </w:rPr>
        <w:t>sex</w:t>
      </w:r>
      <w:r w:rsidRPr="00380E0D">
        <w:rPr>
          <w:sz w:val="24"/>
          <w:szCs w:val="24"/>
        </w:rPr>
        <w:t>”, “</w:t>
      </w:r>
      <w:r w:rsidRPr="00380E0D">
        <w:rPr>
          <w:i/>
          <w:iCs/>
          <w:sz w:val="24"/>
          <w:szCs w:val="24"/>
        </w:rPr>
        <w:t>man</w:t>
      </w:r>
      <w:r w:rsidRPr="00380E0D">
        <w:rPr>
          <w:sz w:val="24"/>
          <w:szCs w:val="24"/>
        </w:rPr>
        <w:t>” and “</w:t>
      </w:r>
      <w:r w:rsidRPr="00380E0D">
        <w:rPr>
          <w:i/>
          <w:iCs/>
          <w:sz w:val="24"/>
          <w:szCs w:val="24"/>
        </w:rPr>
        <w:t>woman</w:t>
      </w:r>
      <w:r w:rsidRPr="00380E0D">
        <w:rPr>
          <w:sz w:val="24"/>
          <w:szCs w:val="24"/>
        </w:rPr>
        <w:t xml:space="preserve">” in </w:t>
      </w:r>
      <w:r w:rsidR="00AE345D" w:rsidRPr="00380E0D">
        <w:rPr>
          <w:sz w:val="24"/>
          <w:szCs w:val="24"/>
        </w:rPr>
        <w:t>the SDA</w:t>
      </w:r>
      <w:r w:rsidRPr="00380E0D">
        <w:rPr>
          <w:sz w:val="24"/>
          <w:szCs w:val="24"/>
        </w:rPr>
        <w:t>.</w:t>
      </w:r>
      <w:r w:rsidR="00194265" w:rsidRPr="00380E0D">
        <w:rPr>
          <w:rStyle w:val="FootnoteReference"/>
          <w:sz w:val="24"/>
          <w:szCs w:val="24"/>
        </w:rPr>
        <w:footnoteReference w:id="12"/>
      </w:r>
      <w:r w:rsidRPr="00380E0D">
        <w:rPr>
          <w:sz w:val="24"/>
          <w:szCs w:val="24"/>
        </w:rPr>
        <w:t xml:space="preserve">  It is only changes to equality law </w:t>
      </w:r>
      <w:proofErr w:type="gramStart"/>
      <w:r w:rsidR="00AE345D" w:rsidRPr="00380E0D">
        <w:rPr>
          <w:sz w:val="24"/>
          <w:szCs w:val="24"/>
        </w:rPr>
        <w:t>subsequent to</w:t>
      </w:r>
      <w:proofErr w:type="gramEnd"/>
      <w:r w:rsidR="00AE345D" w:rsidRPr="00380E0D">
        <w:rPr>
          <w:sz w:val="24"/>
          <w:szCs w:val="24"/>
        </w:rPr>
        <w:t xml:space="preserve"> the GRA </w:t>
      </w:r>
      <w:r w:rsidRPr="00380E0D">
        <w:rPr>
          <w:sz w:val="24"/>
          <w:szCs w:val="24"/>
        </w:rPr>
        <w:t>which could ma</w:t>
      </w:r>
      <w:r w:rsidR="00210DEB" w:rsidRPr="00380E0D">
        <w:rPr>
          <w:sz w:val="24"/>
          <w:szCs w:val="24"/>
        </w:rPr>
        <w:t>k</w:t>
      </w:r>
      <w:r w:rsidRPr="00380E0D">
        <w:rPr>
          <w:sz w:val="24"/>
          <w:szCs w:val="24"/>
        </w:rPr>
        <w:t>e the provision required by s. 9(3).</w:t>
      </w:r>
    </w:p>
    <w:p w14:paraId="08BE1458" w14:textId="77777777" w:rsidR="00BD13CD" w:rsidRPr="00536BFF" w:rsidRDefault="00BD13CD" w:rsidP="00BD13CD">
      <w:pPr>
        <w:pStyle w:val="ListParagraph"/>
        <w:rPr>
          <w:sz w:val="16"/>
          <w:szCs w:val="16"/>
        </w:rPr>
      </w:pPr>
    </w:p>
    <w:p w14:paraId="3527FF55" w14:textId="0354F550" w:rsidR="00574389" w:rsidRPr="00380E0D" w:rsidRDefault="00A645B6" w:rsidP="0073608D">
      <w:pPr>
        <w:pStyle w:val="ListParagraph"/>
        <w:numPr>
          <w:ilvl w:val="0"/>
          <w:numId w:val="1"/>
        </w:numPr>
        <w:spacing w:line="360" w:lineRule="auto"/>
        <w:jc w:val="both"/>
        <w:rPr>
          <w:sz w:val="24"/>
          <w:szCs w:val="24"/>
        </w:rPr>
      </w:pPr>
      <w:r w:rsidRPr="00380E0D">
        <w:rPr>
          <w:sz w:val="24"/>
          <w:szCs w:val="24"/>
        </w:rPr>
        <w:lastRenderedPageBreak/>
        <w:t>T</w:t>
      </w:r>
      <w:r w:rsidR="00574389" w:rsidRPr="00380E0D">
        <w:rPr>
          <w:sz w:val="24"/>
          <w:szCs w:val="24"/>
        </w:rPr>
        <w:t>he GRA made</w:t>
      </w:r>
      <w:r w:rsidR="00B8550D" w:rsidRPr="00380E0D">
        <w:rPr>
          <w:sz w:val="24"/>
          <w:szCs w:val="24"/>
        </w:rPr>
        <w:t xml:space="preserve"> </w:t>
      </w:r>
      <w:r w:rsidR="00CC2ADD" w:rsidRPr="00380E0D">
        <w:rPr>
          <w:sz w:val="24"/>
          <w:szCs w:val="24"/>
        </w:rPr>
        <w:t xml:space="preserve">specific </w:t>
      </w:r>
      <w:r w:rsidR="00BC5094" w:rsidRPr="00380E0D">
        <w:rPr>
          <w:sz w:val="24"/>
          <w:szCs w:val="24"/>
        </w:rPr>
        <w:t xml:space="preserve">amendments </w:t>
      </w:r>
      <w:r w:rsidR="00574389" w:rsidRPr="00380E0D">
        <w:rPr>
          <w:sz w:val="24"/>
          <w:szCs w:val="24"/>
        </w:rPr>
        <w:t>to the SDA</w:t>
      </w:r>
      <w:r w:rsidR="000B5F96" w:rsidRPr="00380E0D">
        <w:rPr>
          <w:sz w:val="24"/>
          <w:szCs w:val="24"/>
        </w:rPr>
        <w:t xml:space="preserve"> at s.</w:t>
      </w:r>
      <w:r w:rsidRPr="00380E0D">
        <w:rPr>
          <w:sz w:val="24"/>
          <w:szCs w:val="24"/>
        </w:rPr>
        <w:t xml:space="preserve"> </w:t>
      </w:r>
      <w:r w:rsidR="000B5F96" w:rsidRPr="00380E0D">
        <w:rPr>
          <w:sz w:val="24"/>
          <w:szCs w:val="24"/>
        </w:rPr>
        <w:t xml:space="preserve">14 and </w:t>
      </w:r>
      <w:r w:rsidR="006873AB" w:rsidRPr="00380E0D">
        <w:rPr>
          <w:sz w:val="24"/>
          <w:szCs w:val="24"/>
        </w:rPr>
        <w:t xml:space="preserve">Sch. </w:t>
      </w:r>
      <w:r w:rsidR="000B5F96" w:rsidRPr="00380E0D">
        <w:rPr>
          <w:sz w:val="24"/>
          <w:szCs w:val="24"/>
        </w:rPr>
        <w:t>6</w:t>
      </w:r>
      <w:r w:rsidR="00E7600A" w:rsidRPr="00380E0D">
        <w:rPr>
          <w:sz w:val="24"/>
          <w:szCs w:val="24"/>
        </w:rPr>
        <w:t xml:space="preserve"> GRA</w:t>
      </w:r>
      <w:r w:rsidR="00263BAA" w:rsidRPr="00380E0D">
        <w:rPr>
          <w:sz w:val="24"/>
          <w:szCs w:val="24"/>
        </w:rPr>
        <w:t xml:space="preserve">.  These include an amendment to s.7A (gender reassignment: exception for genuine occupational qualification) to prevent </w:t>
      </w:r>
      <w:r w:rsidR="00AE345D" w:rsidRPr="00380E0D">
        <w:rPr>
          <w:sz w:val="24"/>
          <w:szCs w:val="24"/>
        </w:rPr>
        <w:t>an</w:t>
      </w:r>
      <w:r w:rsidR="00263BAA" w:rsidRPr="00380E0D">
        <w:rPr>
          <w:sz w:val="24"/>
          <w:szCs w:val="24"/>
        </w:rPr>
        <w:t xml:space="preserve"> occupational qualification from being relied upon in relation to “</w:t>
      </w:r>
      <w:r w:rsidR="00263BAA" w:rsidRPr="00380E0D">
        <w:rPr>
          <w:i/>
          <w:iCs/>
          <w:sz w:val="24"/>
          <w:szCs w:val="24"/>
        </w:rPr>
        <w:t>a person whose gender has become the acquired gender under the Gender Recognition Act 2004</w:t>
      </w:r>
      <w:r w:rsidR="00263BAA" w:rsidRPr="00380E0D">
        <w:rPr>
          <w:sz w:val="24"/>
          <w:szCs w:val="24"/>
        </w:rPr>
        <w:t>”.</w:t>
      </w:r>
      <w:r w:rsidR="00F71900" w:rsidRPr="00380E0D">
        <w:rPr>
          <w:sz w:val="24"/>
          <w:szCs w:val="24"/>
        </w:rPr>
        <w:t xml:space="preserve"> Equivalent amendments </w:t>
      </w:r>
      <w:r w:rsidR="0020657D" w:rsidRPr="00380E0D">
        <w:rPr>
          <w:sz w:val="24"/>
          <w:szCs w:val="24"/>
        </w:rPr>
        <w:t xml:space="preserve">were made </w:t>
      </w:r>
      <w:r w:rsidR="0073608D" w:rsidRPr="00380E0D">
        <w:rPr>
          <w:sz w:val="24"/>
          <w:szCs w:val="24"/>
        </w:rPr>
        <w:t xml:space="preserve">in relation to ss. 7B, 9 and 11 of the SDA (as well as to </w:t>
      </w:r>
      <w:r w:rsidR="00210DEB" w:rsidRPr="00380E0D">
        <w:rPr>
          <w:sz w:val="24"/>
          <w:szCs w:val="24"/>
        </w:rPr>
        <w:t>th</w:t>
      </w:r>
      <w:r w:rsidR="0073608D" w:rsidRPr="00380E0D">
        <w:rPr>
          <w:sz w:val="24"/>
          <w:szCs w:val="24"/>
        </w:rPr>
        <w:t>e Sex Discrimination (Northern Ireland) Order 1976 (S.I. 1976/1042 (N.I.15)).</w:t>
      </w:r>
      <w:r w:rsidR="001D45B2" w:rsidRPr="00380E0D">
        <w:rPr>
          <w:sz w:val="24"/>
          <w:szCs w:val="24"/>
        </w:rPr>
        <w:t xml:space="preserve"> </w:t>
      </w:r>
      <w:r w:rsidR="00C14B9B" w:rsidRPr="00380E0D">
        <w:rPr>
          <w:sz w:val="24"/>
          <w:szCs w:val="24"/>
        </w:rPr>
        <w:t xml:space="preserve">If </w:t>
      </w:r>
      <w:r w:rsidR="001D45B2" w:rsidRPr="00380E0D">
        <w:rPr>
          <w:sz w:val="24"/>
          <w:szCs w:val="24"/>
        </w:rPr>
        <w:t xml:space="preserve">Parliament </w:t>
      </w:r>
      <w:r w:rsidR="00C14B9B" w:rsidRPr="00380E0D">
        <w:rPr>
          <w:sz w:val="24"/>
          <w:szCs w:val="24"/>
        </w:rPr>
        <w:t xml:space="preserve">had </w:t>
      </w:r>
      <w:r w:rsidR="001D45B2" w:rsidRPr="00380E0D">
        <w:rPr>
          <w:sz w:val="24"/>
          <w:szCs w:val="24"/>
        </w:rPr>
        <w:t xml:space="preserve">intended that </w:t>
      </w:r>
      <w:r w:rsidR="00BC5094" w:rsidRPr="00380E0D">
        <w:rPr>
          <w:sz w:val="24"/>
          <w:szCs w:val="24"/>
        </w:rPr>
        <w:t>the principle of construction</w:t>
      </w:r>
      <w:r w:rsidR="001D45B2" w:rsidRPr="00380E0D">
        <w:rPr>
          <w:sz w:val="24"/>
          <w:szCs w:val="24"/>
        </w:rPr>
        <w:t xml:space="preserve"> established by s.9(1)</w:t>
      </w:r>
      <w:r w:rsidRPr="00380E0D">
        <w:rPr>
          <w:sz w:val="24"/>
          <w:szCs w:val="24"/>
        </w:rPr>
        <w:t xml:space="preserve"> should</w:t>
      </w:r>
      <w:r w:rsidR="001D45B2" w:rsidRPr="00380E0D">
        <w:rPr>
          <w:sz w:val="24"/>
          <w:szCs w:val="24"/>
        </w:rPr>
        <w:t xml:space="preserve"> </w:t>
      </w:r>
      <w:r w:rsidR="00980BFE" w:rsidRPr="00380E0D">
        <w:rPr>
          <w:sz w:val="24"/>
          <w:szCs w:val="24"/>
        </w:rPr>
        <w:t xml:space="preserve">not </w:t>
      </w:r>
      <w:r w:rsidR="001D45B2" w:rsidRPr="00380E0D">
        <w:rPr>
          <w:sz w:val="24"/>
          <w:szCs w:val="24"/>
        </w:rPr>
        <w:t>apply to the SDA</w:t>
      </w:r>
      <w:r w:rsidR="00980BFE" w:rsidRPr="00380E0D">
        <w:rPr>
          <w:sz w:val="24"/>
          <w:szCs w:val="24"/>
        </w:rPr>
        <w:t>,</w:t>
      </w:r>
      <w:r w:rsidR="001D45B2" w:rsidRPr="00380E0D">
        <w:rPr>
          <w:sz w:val="24"/>
          <w:szCs w:val="24"/>
        </w:rPr>
        <w:t xml:space="preserve"> it could have </w:t>
      </w:r>
      <w:r w:rsidRPr="00380E0D">
        <w:rPr>
          <w:sz w:val="24"/>
          <w:szCs w:val="24"/>
        </w:rPr>
        <w:t xml:space="preserve">made specific provision </w:t>
      </w:r>
      <w:r w:rsidR="00C14B9B" w:rsidRPr="00380E0D">
        <w:rPr>
          <w:sz w:val="24"/>
          <w:szCs w:val="24"/>
        </w:rPr>
        <w:t xml:space="preserve">alongside these amendments to the SDA </w:t>
      </w:r>
      <w:r w:rsidRPr="00380E0D">
        <w:rPr>
          <w:sz w:val="24"/>
          <w:szCs w:val="24"/>
        </w:rPr>
        <w:t>which would have fallen within s. 9(3)</w:t>
      </w:r>
      <w:r w:rsidR="00C14B9B" w:rsidRPr="00380E0D">
        <w:rPr>
          <w:sz w:val="24"/>
          <w:szCs w:val="24"/>
        </w:rPr>
        <w:t>, as provision made under the GRA itself</w:t>
      </w:r>
      <w:r w:rsidR="001D45B2" w:rsidRPr="00380E0D">
        <w:rPr>
          <w:sz w:val="24"/>
          <w:szCs w:val="24"/>
        </w:rPr>
        <w:t xml:space="preserve">.  </w:t>
      </w:r>
    </w:p>
    <w:p w14:paraId="719C1D4E" w14:textId="77777777" w:rsidR="003E0FD7" w:rsidRPr="00536BFF" w:rsidRDefault="003E0FD7" w:rsidP="003E0FD7">
      <w:pPr>
        <w:pStyle w:val="ListParagraph"/>
        <w:rPr>
          <w:sz w:val="16"/>
          <w:szCs w:val="16"/>
        </w:rPr>
      </w:pPr>
    </w:p>
    <w:p w14:paraId="3FCC79ED" w14:textId="18814A8A" w:rsidR="00067086" w:rsidRPr="00536BFF" w:rsidRDefault="003E0FD7" w:rsidP="00BD13CD">
      <w:pPr>
        <w:pStyle w:val="ListParagraph"/>
        <w:numPr>
          <w:ilvl w:val="0"/>
          <w:numId w:val="1"/>
        </w:numPr>
        <w:spacing w:line="360" w:lineRule="auto"/>
        <w:jc w:val="both"/>
        <w:rPr>
          <w:sz w:val="24"/>
          <w:szCs w:val="24"/>
        </w:rPr>
      </w:pPr>
      <w:r w:rsidRPr="00380E0D">
        <w:rPr>
          <w:sz w:val="24"/>
          <w:szCs w:val="24"/>
        </w:rPr>
        <w:t>For these reasons</w:t>
      </w:r>
      <w:r w:rsidR="00A645B6" w:rsidRPr="00380E0D">
        <w:rPr>
          <w:sz w:val="24"/>
          <w:szCs w:val="24"/>
        </w:rPr>
        <w:t>, the</w:t>
      </w:r>
      <w:r w:rsidR="00EA485A">
        <w:rPr>
          <w:sz w:val="24"/>
          <w:szCs w:val="24"/>
        </w:rPr>
        <w:t xml:space="preserve"> Commission considers it to be unavoidable, having regard to the context of </w:t>
      </w:r>
      <w:r w:rsidR="00C14B9B" w:rsidRPr="00380E0D">
        <w:rPr>
          <w:sz w:val="24"/>
          <w:szCs w:val="24"/>
        </w:rPr>
        <w:t>the GRA</w:t>
      </w:r>
      <w:r w:rsidR="00EA485A">
        <w:rPr>
          <w:sz w:val="24"/>
          <w:szCs w:val="24"/>
        </w:rPr>
        <w:t>, that statute</w:t>
      </w:r>
      <w:r w:rsidR="00C14B9B" w:rsidRPr="00380E0D">
        <w:rPr>
          <w:sz w:val="24"/>
          <w:szCs w:val="24"/>
        </w:rPr>
        <w:t xml:space="preserve"> read as a whole, the </w:t>
      </w:r>
      <w:r w:rsidR="0020657D" w:rsidRPr="00380E0D">
        <w:rPr>
          <w:sz w:val="24"/>
          <w:szCs w:val="24"/>
        </w:rPr>
        <w:t xml:space="preserve">language </w:t>
      </w:r>
      <w:r w:rsidR="00C14B9B" w:rsidRPr="00380E0D">
        <w:rPr>
          <w:sz w:val="24"/>
          <w:szCs w:val="24"/>
        </w:rPr>
        <w:t xml:space="preserve">used in </w:t>
      </w:r>
      <w:r w:rsidR="0020657D" w:rsidRPr="00380E0D">
        <w:rPr>
          <w:sz w:val="24"/>
          <w:szCs w:val="24"/>
        </w:rPr>
        <w:t>s.</w:t>
      </w:r>
      <w:r w:rsidR="00C14B9B" w:rsidRPr="00380E0D">
        <w:rPr>
          <w:sz w:val="24"/>
          <w:szCs w:val="24"/>
        </w:rPr>
        <w:t xml:space="preserve"> </w:t>
      </w:r>
      <w:r w:rsidR="0020657D" w:rsidRPr="00380E0D">
        <w:rPr>
          <w:sz w:val="24"/>
          <w:szCs w:val="24"/>
        </w:rPr>
        <w:t>9</w:t>
      </w:r>
      <w:r w:rsidR="00C14B9B" w:rsidRPr="00380E0D">
        <w:rPr>
          <w:sz w:val="24"/>
          <w:szCs w:val="24"/>
        </w:rPr>
        <w:t xml:space="preserve"> GRA and </w:t>
      </w:r>
      <w:r w:rsidR="00BC5094" w:rsidRPr="00380E0D">
        <w:rPr>
          <w:sz w:val="24"/>
          <w:szCs w:val="24"/>
        </w:rPr>
        <w:t>the Explanatory Note</w:t>
      </w:r>
      <w:r w:rsidR="00A645B6" w:rsidRPr="00380E0D">
        <w:rPr>
          <w:sz w:val="24"/>
          <w:szCs w:val="24"/>
        </w:rPr>
        <w:t>s,</w:t>
      </w:r>
      <w:r w:rsidRPr="00380E0D">
        <w:rPr>
          <w:sz w:val="24"/>
          <w:szCs w:val="24"/>
        </w:rPr>
        <w:t xml:space="preserve"> that it was the intention of Parliament that the </w:t>
      </w:r>
      <w:r w:rsidR="00A645B6" w:rsidRPr="00380E0D">
        <w:rPr>
          <w:sz w:val="24"/>
          <w:szCs w:val="24"/>
        </w:rPr>
        <w:t xml:space="preserve">principle of construction created by s. 9(1) </w:t>
      </w:r>
      <w:r w:rsidRPr="00380E0D">
        <w:rPr>
          <w:sz w:val="24"/>
          <w:szCs w:val="24"/>
        </w:rPr>
        <w:t xml:space="preserve">GRA </w:t>
      </w:r>
      <w:r w:rsidR="00A645B6" w:rsidRPr="00380E0D">
        <w:rPr>
          <w:sz w:val="24"/>
          <w:szCs w:val="24"/>
        </w:rPr>
        <w:t>would have the effect that</w:t>
      </w:r>
      <w:r w:rsidR="00067086" w:rsidRPr="00380E0D">
        <w:rPr>
          <w:sz w:val="24"/>
          <w:szCs w:val="24"/>
        </w:rPr>
        <w:t xml:space="preserve"> those with a GRC would</w:t>
      </w:r>
      <w:r w:rsidR="009B71BC" w:rsidRPr="00380E0D">
        <w:rPr>
          <w:sz w:val="24"/>
          <w:szCs w:val="24"/>
        </w:rPr>
        <w:t>,</w:t>
      </w:r>
      <w:r w:rsidR="00067086" w:rsidRPr="00380E0D">
        <w:rPr>
          <w:sz w:val="24"/>
          <w:szCs w:val="24"/>
        </w:rPr>
        <w:t xml:space="preserve"> </w:t>
      </w:r>
      <w:r w:rsidR="009B71BC" w:rsidRPr="00380E0D">
        <w:rPr>
          <w:sz w:val="24"/>
          <w:szCs w:val="24"/>
        </w:rPr>
        <w:t xml:space="preserve">under the SDA, </w:t>
      </w:r>
      <w:r w:rsidR="00067086" w:rsidRPr="00380E0D">
        <w:rPr>
          <w:sz w:val="24"/>
          <w:szCs w:val="24"/>
        </w:rPr>
        <w:t>obtain protection</w:t>
      </w:r>
      <w:r w:rsidR="00BC5094" w:rsidRPr="00380E0D">
        <w:rPr>
          <w:sz w:val="24"/>
          <w:szCs w:val="24"/>
        </w:rPr>
        <w:t xml:space="preserve"> from discrimination</w:t>
      </w:r>
      <w:r w:rsidR="00067086" w:rsidRPr="00380E0D">
        <w:rPr>
          <w:sz w:val="24"/>
          <w:szCs w:val="24"/>
        </w:rPr>
        <w:t xml:space="preserve"> </w:t>
      </w:r>
      <w:r w:rsidR="00E7600A" w:rsidRPr="00380E0D">
        <w:rPr>
          <w:sz w:val="24"/>
          <w:szCs w:val="24"/>
        </w:rPr>
        <w:t xml:space="preserve">in the employment context </w:t>
      </w:r>
      <w:r w:rsidR="00A645B6" w:rsidRPr="00380E0D">
        <w:rPr>
          <w:sz w:val="24"/>
          <w:szCs w:val="24"/>
        </w:rPr>
        <w:t xml:space="preserve">in </w:t>
      </w:r>
      <w:r w:rsidR="00067086" w:rsidRPr="00380E0D">
        <w:rPr>
          <w:sz w:val="24"/>
          <w:szCs w:val="24"/>
        </w:rPr>
        <w:t xml:space="preserve">their certified sex.  </w:t>
      </w:r>
      <w:r w:rsidR="00740FA9" w:rsidRPr="00380E0D">
        <w:rPr>
          <w:sz w:val="24"/>
          <w:szCs w:val="24"/>
        </w:rPr>
        <w:t>T</w:t>
      </w:r>
      <w:r w:rsidR="00A645B6" w:rsidRPr="00380E0D">
        <w:rPr>
          <w:sz w:val="24"/>
          <w:szCs w:val="24"/>
        </w:rPr>
        <w:t xml:space="preserve">hat </w:t>
      </w:r>
      <w:r w:rsidR="009B71BC" w:rsidRPr="00380E0D">
        <w:rPr>
          <w:sz w:val="24"/>
          <w:szCs w:val="24"/>
        </w:rPr>
        <w:t xml:space="preserve">feature of the SDA </w:t>
      </w:r>
      <w:r w:rsidR="00A645B6" w:rsidRPr="00380E0D">
        <w:rPr>
          <w:sz w:val="24"/>
          <w:szCs w:val="24"/>
        </w:rPr>
        <w:t xml:space="preserve">was not displaced by the </w:t>
      </w:r>
      <w:proofErr w:type="spellStart"/>
      <w:r w:rsidR="00A645B6" w:rsidRPr="00380E0D">
        <w:rPr>
          <w:sz w:val="24"/>
          <w:szCs w:val="24"/>
        </w:rPr>
        <w:t>EqA</w:t>
      </w:r>
      <w:proofErr w:type="spellEnd"/>
      <w:r w:rsidR="00A645B6" w:rsidRPr="00380E0D">
        <w:rPr>
          <w:sz w:val="24"/>
          <w:szCs w:val="24"/>
        </w:rPr>
        <w:t xml:space="preserve"> either in the employme</w:t>
      </w:r>
      <w:r w:rsidR="00832ACE" w:rsidRPr="00380E0D">
        <w:rPr>
          <w:sz w:val="24"/>
          <w:szCs w:val="24"/>
        </w:rPr>
        <w:t>n</w:t>
      </w:r>
      <w:r w:rsidR="00A645B6" w:rsidRPr="00380E0D">
        <w:rPr>
          <w:sz w:val="24"/>
          <w:szCs w:val="24"/>
        </w:rPr>
        <w:t>t context or in</w:t>
      </w:r>
      <w:r w:rsidR="009B71BC" w:rsidRPr="00380E0D">
        <w:rPr>
          <w:sz w:val="24"/>
          <w:szCs w:val="24"/>
        </w:rPr>
        <w:t>deed in</w:t>
      </w:r>
      <w:r w:rsidR="00A645B6" w:rsidRPr="00380E0D">
        <w:rPr>
          <w:sz w:val="24"/>
          <w:szCs w:val="24"/>
        </w:rPr>
        <w:t xml:space="preserve"> the </w:t>
      </w:r>
      <w:r w:rsidR="00A645B6" w:rsidRPr="00536BFF">
        <w:rPr>
          <w:sz w:val="24"/>
          <w:szCs w:val="24"/>
        </w:rPr>
        <w:t xml:space="preserve">other areas in which the </w:t>
      </w:r>
      <w:proofErr w:type="spellStart"/>
      <w:r w:rsidR="00A645B6" w:rsidRPr="00536BFF">
        <w:rPr>
          <w:sz w:val="24"/>
          <w:szCs w:val="24"/>
        </w:rPr>
        <w:t>EqA</w:t>
      </w:r>
      <w:proofErr w:type="spellEnd"/>
      <w:r w:rsidR="00A645B6" w:rsidRPr="00536BFF">
        <w:rPr>
          <w:sz w:val="24"/>
          <w:szCs w:val="24"/>
        </w:rPr>
        <w:t xml:space="preserve"> applies.</w:t>
      </w:r>
      <w:r w:rsidR="00943E70" w:rsidRPr="00536BFF">
        <w:rPr>
          <w:sz w:val="24"/>
          <w:szCs w:val="24"/>
        </w:rPr>
        <w:t xml:space="preserve"> </w:t>
      </w:r>
    </w:p>
    <w:p w14:paraId="395DD68C" w14:textId="77777777" w:rsidR="00E16242" w:rsidRPr="00536BFF" w:rsidRDefault="00E16242" w:rsidP="00E16242">
      <w:pPr>
        <w:pStyle w:val="ListParagraph"/>
        <w:rPr>
          <w:sz w:val="24"/>
          <w:szCs w:val="24"/>
        </w:rPr>
      </w:pPr>
    </w:p>
    <w:p w14:paraId="52ECAAA7" w14:textId="011AD5E4" w:rsidR="00824318" w:rsidRPr="00380E0D" w:rsidRDefault="00074E3F" w:rsidP="00074E3F">
      <w:pPr>
        <w:pStyle w:val="Heading2"/>
        <w:rPr>
          <w:sz w:val="24"/>
          <w:szCs w:val="24"/>
        </w:rPr>
      </w:pPr>
      <w:r w:rsidRPr="00536BFF">
        <w:rPr>
          <w:sz w:val="24"/>
          <w:szCs w:val="24"/>
        </w:rPr>
        <w:t xml:space="preserve">(2)    </w:t>
      </w:r>
      <w:r w:rsidR="00C37569" w:rsidRPr="00536BFF">
        <w:rPr>
          <w:sz w:val="24"/>
          <w:szCs w:val="24"/>
        </w:rPr>
        <w:t xml:space="preserve">The </w:t>
      </w:r>
      <w:r w:rsidRPr="00536BFF">
        <w:rPr>
          <w:sz w:val="24"/>
          <w:szCs w:val="24"/>
        </w:rPr>
        <w:t>effect</w:t>
      </w:r>
      <w:r w:rsidR="00C37569" w:rsidRPr="00380E0D">
        <w:rPr>
          <w:sz w:val="24"/>
          <w:szCs w:val="24"/>
        </w:rPr>
        <w:t xml:space="preserve"> of the </w:t>
      </w:r>
      <w:proofErr w:type="spellStart"/>
      <w:r w:rsidR="00C37569" w:rsidRPr="00380E0D">
        <w:rPr>
          <w:sz w:val="24"/>
          <w:szCs w:val="24"/>
        </w:rPr>
        <w:t>EqA</w:t>
      </w:r>
      <w:proofErr w:type="spellEnd"/>
      <w:r w:rsidR="00EF7D3C" w:rsidRPr="00380E0D">
        <w:rPr>
          <w:sz w:val="24"/>
          <w:szCs w:val="24"/>
        </w:rPr>
        <w:t xml:space="preserve"> on s.</w:t>
      </w:r>
      <w:r w:rsidR="002C4EB6" w:rsidRPr="00380E0D">
        <w:rPr>
          <w:sz w:val="24"/>
          <w:szCs w:val="24"/>
        </w:rPr>
        <w:t xml:space="preserve"> </w:t>
      </w:r>
      <w:r w:rsidR="00EF7D3C" w:rsidRPr="00380E0D">
        <w:rPr>
          <w:sz w:val="24"/>
          <w:szCs w:val="24"/>
        </w:rPr>
        <w:t>9(1)</w:t>
      </w:r>
      <w:r w:rsidR="00832ACE" w:rsidRPr="00380E0D">
        <w:rPr>
          <w:sz w:val="24"/>
          <w:szCs w:val="24"/>
        </w:rPr>
        <w:t xml:space="preserve"> GRA</w:t>
      </w:r>
    </w:p>
    <w:p w14:paraId="51C1B3CC" w14:textId="77777777" w:rsidR="009B71BC" w:rsidRPr="00380E0D" w:rsidRDefault="009B71BC" w:rsidP="00885F75">
      <w:pPr>
        <w:pStyle w:val="ListParagraph"/>
        <w:numPr>
          <w:ilvl w:val="0"/>
          <w:numId w:val="1"/>
        </w:numPr>
        <w:spacing w:line="360" w:lineRule="auto"/>
        <w:jc w:val="both"/>
        <w:rPr>
          <w:sz w:val="24"/>
          <w:szCs w:val="24"/>
        </w:rPr>
      </w:pPr>
      <w:r w:rsidRPr="00380E0D">
        <w:rPr>
          <w:sz w:val="24"/>
          <w:szCs w:val="24"/>
        </w:rPr>
        <w:t xml:space="preserve">It follows that </w:t>
      </w:r>
      <w:proofErr w:type="gramStart"/>
      <w:r w:rsidRPr="00380E0D">
        <w:rPr>
          <w:sz w:val="24"/>
          <w:szCs w:val="24"/>
        </w:rPr>
        <w:t>in order for</w:t>
      </w:r>
      <w:proofErr w:type="gramEnd"/>
      <w:r w:rsidRPr="00380E0D">
        <w:rPr>
          <w:sz w:val="24"/>
          <w:szCs w:val="24"/>
        </w:rPr>
        <w:t xml:space="preserve"> the first definition to prevail, it must be established that the </w:t>
      </w:r>
      <w:proofErr w:type="spellStart"/>
      <w:r w:rsidR="00824318" w:rsidRPr="00380E0D">
        <w:rPr>
          <w:sz w:val="24"/>
          <w:szCs w:val="24"/>
        </w:rPr>
        <w:t>EqA</w:t>
      </w:r>
      <w:proofErr w:type="spellEnd"/>
      <w:r w:rsidR="00824318" w:rsidRPr="00380E0D">
        <w:rPr>
          <w:sz w:val="24"/>
          <w:szCs w:val="24"/>
        </w:rPr>
        <w:t xml:space="preserve"> </w:t>
      </w:r>
      <w:r w:rsidRPr="00380E0D">
        <w:rPr>
          <w:sz w:val="24"/>
          <w:szCs w:val="24"/>
        </w:rPr>
        <w:t>both (a) effected an important change in equality law as it stood under the SDA, reverting to the pre-GRA position, and (b) made the express or necessarily implied provision required by s. 9(3) to disapply s. 9(1).</w:t>
      </w:r>
    </w:p>
    <w:p w14:paraId="2A1B9F97" w14:textId="77777777" w:rsidR="009B71BC" w:rsidRPr="00536BFF" w:rsidRDefault="009B71BC" w:rsidP="009B71BC">
      <w:pPr>
        <w:pStyle w:val="ListParagraph"/>
        <w:spacing w:line="360" w:lineRule="auto"/>
        <w:ind w:left="794"/>
        <w:jc w:val="both"/>
        <w:rPr>
          <w:sz w:val="20"/>
          <w:szCs w:val="20"/>
        </w:rPr>
      </w:pPr>
    </w:p>
    <w:p w14:paraId="634A4F2B" w14:textId="53EA656E" w:rsidR="00824318" w:rsidRPr="00FB40E9" w:rsidRDefault="009B71BC" w:rsidP="00EA485A">
      <w:pPr>
        <w:pStyle w:val="ListParagraph"/>
        <w:numPr>
          <w:ilvl w:val="0"/>
          <w:numId w:val="1"/>
        </w:numPr>
        <w:spacing w:line="360" w:lineRule="auto"/>
        <w:jc w:val="both"/>
        <w:rPr>
          <w:sz w:val="24"/>
          <w:szCs w:val="24"/>
        </w:rPr>
      </w:pPr>
      <w:r w:rsidRPr="00EA485A">
        <w:rPr>
          <w:sz w:val="24"/>
          <w:szCs w:val="24"/>
        </w:rPr>
        <w:t xml:space="preserve">The </w:t>
      </w:r>
      <w:proofErr w:type="spellStart"/>
      <w:r w:rsidRPr="00EA485A">
        <w:rPr>
          <w:sz w:val="24"/>
          <w:szCs w:val="24"/>
        </w:rPr>
        <w:t>EqA</w:t>
      </w:r>
      <w:proofErr w:type="spellEnd"/>
      <w:r w:rsidRPr="00EA485A">
        <w:rPr>
          <w:sz w:val="24"/>
          <w:szCs w:val="24"/>
        </w:rPr>
        <w:t xml:space="preserve"> </w:t>
      </w:r>
      <w:r w:rsidR="00885F75" w:rsidRPr="00EA485A">
        <w:rPr>
          <w:sz w:val="24"/>
          <w:szCs w:val="24"/>
        </w:rPr>
        <w:t>sought</w:t>
      </w:r>
      <w:r w:rsidRPr="00EA485A">
        <w:rPr>
          <w:sz w:val="24"/>
          <w:szCs w:val="24"/>
        </w:rPr>
        <w:t>,</w:t>
      </w:r>
      <w:r w:rsidR="00885F75" w:rsidRPr="00EA485A">
        <w:rPr>
          <w:sz w:val="24"/>
          <w:szCs w:val="24"/>
        </w:rPr>
        <w:t xml:space="preserve"> among</w:t>
      </w:r>
      <w:r w:rsidR="00E3607A" w:rsidRPr="00EA485A">
        <w:rPr>
          <w:sz w:val="24"/>
          <w:szCs w:val="24"/>
        </w:rPr>
        <w:t>st</w:t>
      </w:r>
      <w:r w:rsidR="00885F75" w:rsidRPr="00EA485A">
        <w:rPr>
          <w:sz w:val="24"/>
          <w:szCs w:val="24"/>
        </w:rPr>
        <w:t xml:space="preserve"> other things</w:t>
      </w:r>
      <w:r w:rsidRPr="00EA485A">
        <w:rPr>
          <w:sz w:val="24"/>
          <w:szCs w:val="24"/>
        </w:rPr>
        <w:t>,</w:t>
      </w:r>
      <w:r w:rsidR="00885F75" w:rsidRPr="00EA485A">
        <w:rPr>
          <w:sz w:val="24"/>
          <w:szCs w:val="24"/>
        </w:rPr>
        <w:t xml:space="preserve"> to </w:t>
      </w:r>
      <w:r w:rsidR="00E3607A" w:rsidRPr="00EA485A">
        <w:rPr>
          <w:sz w:val="24"/>
          <w:szCs w:val="24"/>
        </w:rPr>
        <w:t xml:space="preserve">both </w:t>
      </w:r>
      <w:r w:rsidR="009975A7" w:rsidRPr="00EA485A">
        <w:rPr>
          <w:sz w:val="24"/>
          <w:szCs w:val="24"/>
        </w:rPr>
        <w:t>“</w:t>
      </w:r>
      <w:r w:rsidR="00885F75" w:rsidRPr="00EA485A">
        <w:rPr>
          <w:i/>
          <w:iCs/>
          <w:sz w:val="24"/>
          <w:szCs w:val="24"/>
        </w:rPr>
        <w:t>reform and harmonise equality law</w:t>
      </w:r>
      <w:r w:rsidR="009975A7" w:rsidRPr="00EA485A">
        <w:rPr>
          <w:sz w:val="24"/>
          <w:szCs w:val="24"/>
        </w:rPr>
        <w:t>”</w:t>
      </w:r>
      <w:r w:rsidR="00885F75" w:rsidRPr="00EA485A">
        <w:rPr>
          <w:sz w:val="24"/>
          <w:szCs w:val="24"/>
        </w:rPr>
        <w:t xml:space="preserve"> and </w:t>
      </w:r>
      <w:r w:rsidRPr="00EA485A">
        <w:rPr>
          <w:sz w:val="24"/>
          <w:szCs w:val="24"/>
        </w:rPr>
        <w:t xml:space="preserve">to </w:t>
      </w:r>
      <w:r w:rsidR="00885F75" w:rsidRPr="00EA485A">
        <w:rPr>
          <w:sz w:val="24"/>
          <w:szCs w:val="24"/>
        </w:rPr>
        <w:t>restate the greater part of the enactments relating to discrimination and harassment</w:t>
      </w:r>
      <w:r w:rsidR="004511FA" w:rsidRPr="00EA485A">
        <w:rPr>
          <w:sz w:val="24"/>
          <w:szCs w:val="24"/>
        </w:rPr>
        <w:t>.</w:t>
      </w:r>
      <w:r w:rsidR="00EA485A" w:rsidRPr="00EA485A">
        <w:rPr>
          <w:sz w:val="24"/>
          <w:szCs w:val="24"/>
        </w:rPr>
        <w:t xml:space="preserve"> </w:t>
      </w:r>
      <w:r w:rsidR="002760F1" w:rsidRPr="00FB40E9">
        <w:rPr>
          <w:sz w:val="24"/>
          <w:szCs w:val="24"/>
        </w:rPr>
        <w:t xml:space="preserve">The Commission’s position </w:t>
      </w:r>
      <w:proofErr w:type="gramStart"/>
      <w:r w:rsidR="002760F1" w:rsidRPr="00FB40E9">
        <w:rPr>
          <w:sz w:val="24"/>
          <w:szCs w:val="24"/>
        </w:rPr>
        <w:t>with regard to</w:t>
      </w:r>
      <w:proofErr w:type="gramEnd"/>
      <w:r w:rsidR="002760F1" w:rsidRPr="00FB40E9">
        <w:rPr>
          <w:sz w:val="24"/>
          <w:szCs w:val="24"/>
        </w:rPr>
        <w:t xml:space="preserve"> the correct interpretation </w:t>
      </w:r>
      <w:r w:rsidR="00310007" w:rsidRPr="00FB40E9">
        <w:rPr>
          <w:sz w:val="24"/>
          <w:szCs w:val="24"/>
        </w:rPr>
        <w:t>of the</w:t>
      </w:r>
      <w:r w:rsidR="002760F1" w:rsidRPr="00FB40E9">
        <w:rPr>
          <w:sz w:val="24"/>
          <w:szCs w:val="24"/>
        </w:rPr>
        <w:t xml:space="preserve"> </w:t>
      </w:r>
      <w:proofErr w:type="spellStart"/>
      <w:r w:rsidR="002760F1" w:rsidRPr="00FB40E9">
        <w:rPr>
          <w:sz w:val="24"/>
          <w:szCs w:val="24"/>
        </w:rPr>
        <w:t>EqA</w:t>
      </w:r>
      <w:proofErr w:type="spellEnd"/>
      <w:r w:rsidR="002760F1" w:rsidRPr="00FB40E9">
        <w:rPr>
          <w:sz w:val="24"/>
          <w:szCs w:val="24"/>
        </w:rPr>
        <w:t xml:space="preserve"> is </w:t>
      </w:r>
      <w:r w:rsidR="00BF3846" w:rsidRPr="00FB40E9">
        <w:rPr>
          <w:sz w:val="24"/>
          <w:szCs w:val="24"/>
        </w:rPr>
        <w:t>as follows</w:t>
      </w:r>
      <w:r w:rsidR="002760F1" w:rsidRPr="00FB40E9">
        <w:rPr>
          <w:sz w:val="24"/>
          <w:szCs w:val="24"/>
        </w:rPr>
        <w:t>:</w:t>
      </w:r>
    </w:p>
    <w:p w14:paraId="75100C0D" w14:textId="77777777" w:rsidR="00E3607A" w:rsidRPr="00536BFF" w:rsidRDefault="00E3607A" w:rsidP="00187C39">
      <w:pPr>
        <w:spacing w:line="360" w:lineRule="auto"/>
        <w:jc w:val="both"/>
        <w:rPr>
          <w:sz w:val="16"/>
          <w:szCs w:val="16"/>
        </w:rPr>
      </w:pPr>
    </w:p>
    <w:p w14:paraId="45017E39" w14:textId="5C659185" w:rsidR="00DE6699" w:rsidRPr="00380E0D" w:rsidRDefault="00DE6699" w:rsidP="00EE23C7">
      <w:pPr>
        <w:pStyle w:val="ListParagraph"/>
        <w:numPr>
          <w:ilvl w:val="1"/>
          <w:numId w:val="1"/>
        </w:numPr>
        <w:spacing w:line="360" w:lineRule="auto"/>
        <w:jc w:val="both"/>
        <w:rPr>
          <w:sz w:val="24"/>
          <w:szCs w:val="24"/>
        </w:rPr>
      </w:pPr>
      <w:r w:rsidRPr="00380E0D">
        <w:rPr>
          <w:sz w:val="24"/>
          <w:szCs w:val="24"/>
        </w:rPr>
        <w:t xml:space="preserve">As the </w:t>
      </w:r>
      <w:r w:rsidR="004511FA" w:rsidRPr="00380E0D">
        <w:rPr>
          <w:sz w:val="24"/>
          <w:szCs w:val="24"/>
        </w:rPr>
        <w:t>IH</w:t>
      </w:r>
      <w:r w:rsidRPr="00380E0D">
        <w:rPr>
          <w:sz w:val="24"/>
          <w:szCs w:val="24"/>
        </w:rPr>
        <w:t xml:space="preserve"> held</w:t>
      </w:r>
      <w:r w:rsidR="00EE23C7" w:rsidRPr="00380E0D">
        <w:rPr>
          <w:sz w:val="24"/>
          <w:szCs w:val="24"/>
        </w:rPr>
        <w:t>,</w:t>
      </w:r>
      <w:r w:rsidRPr="00380E0D">
        <w:rPr>
          <w:sz w:val="24"/>
          <w:szCs w:val="24"/>
        </w:rPr>
        <w:t xml:space="preserve"> ss. 11 and 212 </w:t>
      </w:r>
      <w:proofErr w:type="spellStart"/>
      <w:r w:rsidRPr="00380E0D">
        <w:rPr>
          <w:sz w:val="24"/>
          <w:szCs w:val="24"/>
        </w:rPr>
        <w:t>EqA</w:t>
      </w:r>
      <w:proofErr w:type="spellEnd"/>
      <w:r w:rsidRPr="00380E0D">
        <w:rPr>
          <w:sz w:val="24"/>
          <w:szCs w:val="24"/>
        </w:rPr>
        <w:t xml:space="preserve"> do not on their face mandate a biological interpretation of “</w:t>
      </w:r>
      <w:r w:rsidRPr="00380E0D">
        <w:rPr>
          <w:i/>
          <w:iCs/>
          <w:sz w:val="24"/>
          <w:szCs w:val="24"/>
        </w:rPr>
        <w:t>sex</w:t>
      </w:r>
      <w:r w:rsidRPr="00380E0D">
        <w:rPr>
          <w:sz w:val="24"/>
          <w:szCs w:val="24"/>
        </w:rPr>
        <w:t>” and are capable of being read naturally and consistently with s. 9 GRA (§§47-48)</w:t>
      </w:r>
      <w:r w:rsidR="00325766" w:rsidRPr="00325766">
        <w:rPr>
          <w:color w:val="FF0000"/>
          <w:sz w:val="24"/>
          <w:szCs w:val="24"/>
        </w:rPr>
        <w:t xml:space="preserve"> [EF</w:t>
      </w:r>
      <w:r w:rsidR="003706F3">
        <w:rPr>
          <w:color w:val="FF0000"/>
          <w:sz w:val="24"/>
          <w:szCs w:val="24"/>
        </w:rPr>
        <w:t>.</w:t>
      </w:r>
      <w:r w:rsidR="004C261C">
        <w:rPr>
          <w:color w:val="FF0000"/>
          <w:sz w:val="24"/>
          <w:szCs w:val="24"/>
        </w:rPr>
        <w:t>1029</w:t>
      </w:r>
      <w:r w:rsidR="00325766" w:rsidRPr="00325766">
        <w:rPr>
          <w:color w:val="FF0000"/>
          <w:sz w:val="24"/>
          <w:szCs w:val="24"/>
        </w:rPr>
        <w:t>]</w:t>
      </w:r>
      <w:r w:rsidRPr="00380E0D">
        <w:rPr>
          <w:sz w:val="24"/>
          <w:szCs w:val="24"/>
        </w:rPr>
        <w:t>.</w:t>
      </w:r>
      <w:r w:rsidR="004511FA" w:rsidRPr="00380E0D">
        <w:rPr>
          <w:sz w:val="24"/>
          <w:szCs w:val="24"/>
        </w:rPr>
        <w:t xml:space="preserve"> </w:t>
      </w:r>
      <w:r w:rsidR="00EE23C7" w:rsidRPr="00380E0D">
        <w:rPr>
          <w:sz w:val="24"/>
          <w:szCs w:val="24"/>
        </w:rPr>
        <w:t xml:space="preserve"> </w:t>
      </w:r>
      <w:r w:rsidR="00C82134" w:rsidRPr="00380E0D">
        <w:rPr>
          <w:sz w:val="24"/>
          <w:szCs w:val="24"/>
        </w:rPr>
        <w:t xml:space="preserve">There is no express </w:t>
      </w:r>
      <w:r w:rsidR="002760F1" w:rsidRPr="00380E0D">
        <w:rPr>
          <w:sz w:val="24"/>
          <w:szCs w:val="24"/>
        </w:rPr>
        <w:t xml:space="preserve">provision </w:t>
      </w:r>
      <w:r w:rsidR="00CD6AB9" w:rsidRPr="00380E0D">
        <w:rPr>
          <w:sz w:val="24"/>
          <w:szCs w:val="24"/>
        </w:rPr>
        <w:t xml:space="preserve">in the </w:t>
      </w:r>
      <w:proofErr w:type="spellStart"/>
      <w:r w:rsidR="00CD6AB9" w:rsidRPr="00380E0D">
        <w:rPr>
          <w:sz w:val="24"/>
          <w:szCs w:val="24"/>
        </w:rPr>
        <w:t>EqA</w:t>
      </w:r>
      <w:proofErr w:type="spellEnd"/>
      <w:r w:rsidR="00CD6AB9" w:rsidRPr="00380E0D">
        <w:rPr>
          <w:sz w:val="24"/>
          <w:szCs w:val="24"/>
        </w:rPr>
        <w:t xml:space="preserve"> disapplying s. 9(1).  Nor, notwithstanding the difficulties </w:t>
      </w:r>
      <w:r w:rsidR="00EA485A">
        <w:rPr>
          <w:sz w:val="24"/>
          <w:szCs w:val="24"/>
        </w:rPr>
        <w:t>created by</w:t>
      </w:r>
      <w:r w:rsidR="00EA485A" w:rsidRPr="00380E0D">
        <w:rPr>
          <w:sz w:val="24"/>
          <w:szCs w:val="24"/>
        </w:rPr>
        <w:t xml:space="preserve"> </w:t>
      </w:r>
      <w:r w:rsidR="00CD6AB9" w:rsidRPr="00380E0D">
        <w:rPr>
          <w:sz w:val="24"/>
          <w:szCs w:val="24"/>
        </w:rPr>
        <w:t xml:space="preserve">the second definition, are there provisions from which it must necessarily be implied that Parliament’s intention </w:t>
      </w:r>
      <w:r w:rsidR="00732120" w:rsidRPr="00380E0D">
        <w:rPr>
          <w:sz w:val="24"/>
          <w:szCs w:val="24"/>
        </w:rPr>
        <w:t>w</w:t>
      </w:r>
      <w:r w:rsidR="00CD6AB9" w:rsidRPr="00380E0D">
        <w:rPr>
          <w:sz w:val="24"/>
          <w:szCs w:val="24"/>
        </w:rPr>
        <w:t>as to disapply s. 9(1)</w:t>
      </w:r>
      <w:r w:rsidR="00732120" w:rsidRPr="00380E0D">
        <w:rPr>
          <w:sz w:val="24"/>
          <w:szCs w:val="24"/>
        </w:rPr>
        <w:t xml:space="preserve">.  The Appellant’s analysis in </w:t>
      </w:r>
      <w:r w:rsidR="00CC45E7" w:rsidRPr="00380E0D">
        <w:rPr>
          <w:sz w:val="24"/>
          <w:szCs w:val="24"/>
        </w:rPr>
        <w:t>[</w:t>
      </w:r>
      <w:r w:rsidR="00732120" w:rsidRPr="00380E0D">
        <w:rPr>
          <w:sz w:val="24"/>
          <w:szCs w:val="24"/>
        </w:rPr>
        <w:t>AC§38</w:t>
      </w:r>
      <w:r w:rsidR="00325766">
        <w:rPr>
          <w:sz w:val="24"/>
          <w:szCs w:val="24"/>
        </w:rPr>
        <w:t xml:space="preserve"> </w:t>
      </w:r>
      <w:r w:rsidR="00325766" w:rsidRPr="00325766">
        <w:rPr>
          <w:color w:val="FF0000"/>
          <w:sz w:val="24"/>
          <w:szCs w:val="24"/>
        </w:rPr>
        <w:t>EF</w:t>
      </w:r>
      <w:r w:rsidR="003706F3">
        <w:rPr>
          <w:color w:val="FF0000"/>
          <w:sz w:val="24"/>
          <w:szCs w:val="24"/>
        </w:rPr>
        <w:t>.1</w:t>
      </w:r>
      <w:r w:rsidR="004C261C">
        <w:rPr>
          <w:color w:val="FF0000"/>
          <w:sz w:val="24"/>
          <w:szCs w:val="24"/>
        </w:rPr>
        <w:t>71</w:t>
      </w:r>
      <w:r w:rsidR="00CC45E7" w:rsidRPr="00380E0D">
        <w:rPr>
          <w:sz w:val="24"/>
          <w:szCs w:val="24"/>
        </w:rPr>
        <w:t>]</w:t>
      </w:r>
      <w:r w:rsidR="00732120" w:rsidRPr="00380E0D">
        <w:rPr>
          <w:sz w:val="24"/>
          <w:szCs w:val="24"/>
        </w:rPr>
        <w:t xml:space="preserve"> – that “</w:t>
      </w:r>
      <w:r w:rsidR="00732120" w:rsidRPr="00380E0D">
        <w:rPr>
          <w:i/>
          <w:iCs/>
          <w:sz w:val="24"/>
          <w:szCs w:val="24"/>
        </w:rPr>
        <w:t>there would have to be an express, unequivocal and inescapable provision in the [</w:t>
      </w:r>
      <w:proofErr w:type="spellStart"/>
      <w:r w:rsidR="00732120" w:rsidRPr="00380E0D">
        <w:rPr>
          <w:i/>
          <w:iCs/>
          <w:sz w:val="24"/>
          <w:szCs w:val="24"/>
        </w:rPr>
        <w:t>EqA</w:t>
      </w:r>
      <w:proofErr w:type="spellEnd"/>
      <w:r w:rsidR="00732120" w:rsidRPr="00380E0D">
        <w:rPr>
          <w:i/>
          <w:iCs/>
          <w:sz w:val="24"/>
          <w:szCs w:val="24"/>
        </w:rPr>
        <w:t>] itself admitting of no doubt or any possible interpretation other than that</w:t>
      </w:r>
      <w:r w:rsidR="00732120" w:rsidRPr="00380E0D">
        <w:rPr>
          <w:sz w:val="24"/>
          <w:szCs w:val="24"/>
        </w:rPr>
        <w:t xml:space="preserve">” s. 9(1) GRA was to apply to the </w:t>
      </w:r>
      <w:proofErr w:type="spellStart"/>
      <w:r w:rsidR="00732120" w:rsidRPr="00380E0D">
        <w:rPr>
          <w:sz w:val="24"/>
          <w:szCs w:val="24"/>
        </w:rPr>
        <w:t>EqA</w:t>
      </w:r>
      <w:proofErr w:type="spellEnd"/>
      <w:r w:rsidR="00732120" w:rsidRPr="00380E0D">
        <w:rPr>
          <w:sz w:val="24"/>
          <w:szCs w:val="24"/>
        </w:rPr>
        <w:t xml:space="preserve"> is the wrong way </w:t>
      </w:r>
      <w:r w:rsidR="00732120" w:rsidRPr="00380E0D">
        <w:rPr>
          <w:sz w:val="24"/>
          <w:szCs w:val="24"/>
        </w:rPr>
        <w:lastRenderedPageBreak/>
        <w:t>around – what is necessary for the purposes of its case is clear provision disapplying s. 9(1) and changing the position which pertained under the SDA.</w:t>
      </w:r>
    </w:p>
    <w:p w14:paraId="391548F8" w14:textId="77777777" w:rsidR="00371517" w:rsidRPr="00380E0D" w:rsidRDefault="00371517" w:rsidP="00371517">
      <w:pPr>
        <w:pStyle w:val="ListParagraph"/>
        <w:rPr>
          <w:sz w:val="24"/>
          <w:szCs w:val="24"/>
        </w:rPr>
      </w:pPr>
    </w:p>
    <w:p w14:paraId="6D824170" w14:textId="5CD8D522" w:rsidR="00371517" w:rsidRPr="00380E0D" w:rsidRDefault="00371517" w:rsidP="00DE6699">
      <w:pPr>
        <w:pStyle w:val="ListParagraph"/>
        <w:numPr>
          <w:ilvl w:val="1"/>
          <w:numId w:val="1"/>
        </w:numPr>
        <w:spacing w:line="360" w:lineRule="auto"/>
        <w:jc w:val="both"/>
        <w:rPr>
          <w:sz w:val="24"/>
          <w:szCs w:val="24"/>
        </w:rPr>
      </w:pPr>
      <w:r w:rsidRPr="00380E0D">
        <w:rPr>
          <w:sz w:val="24"/>
          <w:szCs w:val="24"/>
        </w:rPr>
        <w:t xml:space="preserve">The </w:t>
      </w:r>
      <w:proofErr w:type="spellStart"/>
      <w:r w:rsidRPr="00380E0D">
        <w:rPr>
          <w:sz w:val="24"/>
          <w:szCs w:val="24"/>
        </w:rPr>
        <w:t>EqA</w:t>
      </w:r>
      <w:proofErr w:type="spellEnd"/>
      <w:r w:rsidRPr="00380E0D">
        <w:rPr>
          <w:sz w:val="24"/>
          <w:szCs w:val="24"/>
        </w:rPr>
        <w:t xml:space="preserve"> read as a whole</w:t>
      </w:r>
      <w:r w:rsidR="00D63AC3" w:rsidRPr="00380E0D">
        <w:rPr>
          <w:sz w:val="24"/>
          <w:szCs w:val="24"/>
        </w:rPr>
        <w:t>,</w:t>
      </w:r>
      <w:r w:rsidRPr="00380E0D">
        <w:rPr>
          <w:sz w:val="24"/>
          <w:szCs w:val="24"/>
        </w:rPr>
        <w:t xml:space="preserve"> supports the conclusion that the intention of Parliament </w:t>
      </w:r>
      <w:r w:rsidR="00EE23C7" w:rsidRPr="00380E0D">
        <w:rPr>
          <w:sz w:val="24"/>
          <w:szCs w:val="24"/>
        </w:rPr>
        <w:t>was not</w:t>
      </w:r>
      <w:r w:rsidRPr="00380E0D">
        <w:rPr>
          <w:sz w:val="24"/>
          <w:szCs w:val="24"/>
        </w:rPr>
        <w:t xml:space="preserve"> to depart from the </w:t>
      </w:r>
      <w:r w:rsidR="002760F1" w:rsidRPr="00380E0D">
        <w:rPr>
          <w:sz w:val="24"/>
          <w:szCs w:val="24"/>
        </w:rPr>
        <w:t xml:space="preserve">position under the SDA, which had been modified by s. 9(1) and other provisions of the </w:t>
      </w:r>
      <w:r w:rsidRPr="00380E0D">
        <w:rPr>
          <w:sz w:val="24"/>
          <w:szCs w:val="24"/>
        </w:rPr>
        <w:t>GRA</w:t>
      </w:r>
      <w:r w:rsidR="002760F1" w:rsidRPr="00380E0D">
        <w:rPr>
          <w:sz w:val="24"/>
          <w:szCs w:val="24"/>
        </w:rPr>
        <w:t xml:space="preserve">, so that </w:t>
      </w:r>
      <w:r w:rsidR="00F7288A" w:rsidRPr="00380E0D">
        <w:rPr>
          <w:sz w:val="24"/>
          <w:szCs w:val="24"/>
        </w:rPr>
        <w:t>a person could bring a claim for sex discrimination in their certified rather than natal sex</w:t>
      </w:r>
      <w:r w:rsidRPr="00380E0D">
        <w:rPr>
          <w:sz w:val="24"/>
          <w:szCs w:val="24"/>
        </w:rPr>
        <w:t>.</w:t>
      </w:r>
    </w:p>
    <w:p w14:paraId="0E02FC56" w14:textId="77777777" w:rsidR="00CD6AB9" w:rsidRPr="00380E0D" w:rsidRDefault="00CD6AB9" w:rsidP="00CD6AB9">
      <w:pPr>
        <w:pStyle w:val="ListParagraph"/>
        <w:rPr>
          <w:sz w:val="24"/>
          <w:szCs w:val="24"/>
        </w:rPr>
      </w:pPr>
    </w:p>
    <w:p w14:paraId="078ED80C" w14:textId="49A0EADC" w:rsidR="00CD6AB9" w:rsidRPr="00380E0D" w:rsidRDefault="00CB101E" w:rsidP="00CB101E">
      <w:pPr>
        <w:pStyle w:val="ListParagraph"/>
        <w:numPr>
          <w:ilvl w:val="1"/>
          <w:numId w:val="1"/>
        </w:numPr>
        <w:spacing w:line="360" w:lineRule="auto"/>
        <w:jc w:val="both"/>
        <w:rPr>
          <w:sz w:val="24"/>
          <w:szCs w:val="24"/>
        </w:rPr>
      </w:pPr>
      <w:r w:rsidRPr="00380E0D">
        <w:rPr>
          <w:sz w:val="24"/>
          <w:szCs w:val="24"/>
        </w:rPr>
        <w:t>There is no reason to suppose that Parliament intended</w:t>
      </w:r>
      <w:r w:rsidR="00310007" w:rsidRPr="00380E0D">
        <w:rPr>
          <w:sz w:val="24"/>
          <w:szCs w:val="24"/>
        </w:rPr>
        <w:t>,</w:t>
      </w:r>
      <w:r w:rsidRPr="00380E0D">
        <w:rPr>
          <w:sz w:val="24"/>
          <w:szCs w:val="24"/>
        </w:rPr>
        <w:t xml:space="preserve"> by the </w:t>
      </w:r>
      <w:proofErr w:type="spellStart"/>
      <w:r w:rsidRPr="00380E0D">
        <w:rPr>
          <w:sz w:val="24"/>
          <w:szCs w:val="24"/>
        </w:rPr>
        <w:t>EqA</w:t>
      </w:r>
      <w:proofErr w:type="spellEnd"/>
      <w:r w:rsidR="00310007" w:rsidRPr="00380E0D">
        <w:rPr>
          <w:sz w:val="24"/>
          <w:szCs w:val="24"/>
        </w:rPr>
        <w:t>,</w:t>
      </w:r>
      <w:r w:rsidRPr="00380E0D">
        <w:rPr>
          <w:sz w:val="24"/>
          <w:szCs w:val="24"/>
        </w:rPr>
        <w:t xml:space="preserve"> to introduce a change of substance </w:t>
      </w:r>
      <w:r w:rsidR="00310007" w:rsidRPr="00380E0D">
        <w:rPr>
          <w:sz w:val="24"/>
          <w:szCs w:val="24"/>
        </w:rPr>
        <w:t>from the</w:t>
      </w:r>
      <w:r w:rsidRPr="00380E0D">
        <w:rPr>
          <w:sz w:val="24"/>
          <w:szCs w:val="24"/>
        </w:rPr>
        <w:t xml:space="preserve"> SDA, read </w:t>
      </w:r>
      <w:r w:rsidR="00310007" w:rsidRPr="00380E0D">
        <w:rPr>
          <w:sz w:val="24"/>
          <w:szCs w:val="24"/>
        </w:rPr>
        <w:t>as per</w:t>
      </w:r>
      <w:r w:rsidRPr="00380E0D">
        <w:rPr>
          <w:sz w:val="24"/>
          <w:szCs w:val="24"/>
        </w:rPr>
        <w:t xml:space="preserve"> s. 9(1) GRA.  </w:t>
      </w:r>
      <w:r w:rsidR="00526B11" w:rsidRPr="00380E0D">
        <w:rPr>
          <w:sz w:val="24"/>
          <w:szCs w:val="24"/>
        </w:rPr>
        <w:t>I</w:t>
      </w:r>
      <w:r w:rsidRPr="00380E0D">
        <w:rPr>
          <w:sz w:val="24"/>
          <w:szCs w:val="24"/>
        </w:rPr>
        <w:t xml:space="preserve">t may therefore be said in this case, as in </w:t>
      </w:r>
      <w:r w:rsidRPr="00380E0D">
        <w:rPr>
          <w:i/>
          <w:iCs/>
          <w:sz w:val="24"/>
          <w:szCs w:val="24"/>
        </w:rPr>
        <w:t>Ayodele v Citylink Ltd</w:t>
      </w:r>
      <w:r w:rsidRPr="00380E0D">
        <w:rPr>
          <w:sz w:val="24"/>
          <w:szCs w:val="24"/>
        </w:rPr>
        <w:t xml:space="preserve"> [2018] ICR 748, §96, that “</w:t>
      </w:r>
      <w:r w:rsidRPr="00380E0D">
        <w:rPr>
          <w:i/>
          <w:iCs/>
          <w:sz w:val="24"/>
          <w:szCs w:val="24"/>
        </w:rPr>
        <w:t>it is telling that nothing in the Explanatory Notes .</w:t>
      </w:r>
      <w:r w:rsidR="239EEB12" w:rsidRPr="00380E0D">
        <w:rPr>
          <w:i/>
          <w:iCs/>
          <w:sz w:val="24"/>
          <w:szCs w:val="24"/>
        </w:rPr>
        <w:t>.</w:t>
      </w:r>
      <w:r w:rsidRPr="00380E0D">
        <w:rPr>
          <w:i/>
          <w:iCs/>
          <w:sz w:val="24"/>
          <w:szCs w:val="24"/>
        </w:rPr>
        <w:t>. or in any other document which led up to the enactment of the Equality Act 2010 pointed to there being any perceived mischief that needed a change of substance in the law</w:t>
      </w:r>
      <w:r w:rsidRPr="00380E0D">
        <w:rPr>
          <w:sz w:val="24"/>
          <w:szCs w:val="24"/>
        </w:rPr>
        <w:t xml:space="preserve">” (approved in </w:t>
      </w:r>
      <w:proofErr w:type="spellStart"/>
      <w:r w:rsidRPr="00380E0D">
        <w:rPr>
          <w:i/>
          <w:iCs/>
          <w:sz w:val="24"/>
          <w:szCs w:val="24"/>
        </w:rPr>
        <w:t>Efobi</w:t>
      </w:r>
      <w:proofErr w:type="spellEnd"/>
      <w:r w:rsidRPr="00380E0D">
        <w:rPr>
          <w:i/>
          <w:iCs/>
          <w:sz w:val="24"/>
          <w:szCs w:val="24"/>
        </w:rPr>
        <w:t xml:space="preserve"> v Royal Mail Group Ltd</w:t>
      </w:r>
      <w:r w:rsidRPr="00380E0D">
        <w:rPr>
          <w:sz w:val="24"/>
          <w:szCs w:val="24"/>
        </w:rPr>
        <w:t xml:space="preserve"> [2021] UKSC 33 [2021] 1 WLR 3863, §§24-34)</w:t>
      </w:r>
      <w:r w:rsidR="00325766">
        <w:rPr>
          <w:sz w:val="24"/>
          <w:szCs w:val="24"/>
        </w:rPr>
        <w:t xml:space="preserve"> </w:t>
      </w:r>
      <w:r w:rsidR="00325766" w:rsidRPr="00325766">
        <w:rPr>
          <w:color w:val="FF0000"/>
          <w:sz w:val="24"/>
          <w:szCs w:val="24"/>
        </w:rPr>
        <w:t>[EF</w:t>
      </w:r>
      <w:r w:rsidR="00CC4458">
        <w:rPr>
          <w:color w:val="FF0000"/>
          <w:sz w:val="24"/>
          <w:szCs w:val="24"/>
        </w:rPr>
        <w:t>.21</w:t>
      </w:r>
      <w:r w:rsidR="004C261C">
        <w:rPr>
          <w:color w:val="FF0000"/>
          <w:sz w:val="24"/>
          <w:szCs w:val="24"/>
        </w:rPr>
        <w:t>38</w:t>
      </w:r>
      <w:r w:rsidR="00325766" w:rsidRPr="00325766">
        <w:rPr>
          <w:color w:val="FF0000"/>
          <w:sz w:val="24"/>
          <w:szCs w:val="24"/>
        </w:rPr>
        <w:t>]</w:t>
      </w:r>
      <w:r w:rsidRPr="00380E0D">
        <w:rPr>
          <w:sz w:val="24"/>
          <w:szCs w:val="24"/>
        </w:rPr>
        <w:t>.</w:t>
      </w:r>
    </w:p>
    <w:p w14:paraId="0D605ED6" w14:textId="77777777" w:rsidR="004511FA" w:rsidRPr="00380E0D" w:rsidRDefault="004511FA" w:rsidP="004511FA">
      <w:pPr>
        <w:spacing w:line="360" w:lineRule="auto"/>
        <w:jc w:val="both"/>
        <w:rPr>
          <w:sz w:val="24"/>
          <w:szCs w:val="24"/>
        </w:rPr>
      </w:pPr>
    </w:p>
    <w:p w14:paraId="5819B93D" w14:textId="42C0C51F" w:rsidR="003773CF" w:rsidRPr="00380E0D" w:rsidRDefault="00885F75" w:rsidP="00E3607A">
      <w:pPr>
        <w:pStyle w:val="ListParagraph"/>
        <w:numPr>
          <w:ilvl w:val="1"/>
          <w:numId w:val="1"/>
        </w:numPr>
        <w:spacing w:line="360" w:lineRule="auto"/>
        <w:jc w:val="both"/>
        <w:rPr>
          <w:sz w:val="24"/>
          <w:szCs w:val="24"/>
        </w:rPr>
      </w:pPr>
      <w:r w:rsidRPr="00380E0D">
        <w:rPr>
          <w:sz w:val="24"/>
          <w:szCs w:val="24"/>
        </w:rPr>
        <w:t>With respect to</w:t>
      </w:r>
      <w:r w:rsidR="00EA485A">
        <w:rPr>
          <w:sz w:val="24"/>
          <w:szCs w:val="24"/>
        </w:rPr>
        <w:t xml:space="preserve"> the</w:t>
      </w:r>
      <w:r w:rsidRPr="00380E0D">
        <w:rPr>
          <w:sz w:val="24"/>
          <w:szCs w:val="24"/>
        </w:rPr>
        <w:t xml:space="preserve"> IH</w:t>
      </w:r>
      <w:r w:rsidR="00EA485A">
        <w:rPr>
          <w:sz w:val="24"/>
          <w:szCs w:val="24"/>
        </w:rPr>
        <w:t>’s</w:t>
      </w:r>
      <w:r w:rsidRPr="00380E0D">
        <w:rPr>
          <w:sz w:val="24"/>
          <w:szCs w:val="24"/>
        </w:rPr>
        <w:t xml:space="preserve"> </w:t>
      </w:r>
      <w:r w:rsidR="00310007" w:rsidRPr="00380E0D">
        <w:rPr>
          <w:sz w:val="24"/>
          <w:szCs w:val="24"/>
        </w:rPr>
        <w:t xml:space="preserve">conclusion </w:t>
      </w:r>
      <w:r w:rsidRPr="00380E0D">
        <w:rPr>
          <w:sz w:val="24"/>
          <w:szCs w:val="24"/>
        </w:rPr>
        <w:t xml:space="preserve">that </w:t>
      </w:r>
      <w:r w:rsidR="00371517" w:rsidRPr="00380E0D">
        <w:rPr>
          <w:sz w:val="24"/>
          <w:szCs w:val="24"/>
        </w:rPr>
        <w:t>the meaning of “</w:t>
      </w:r>
      <w:r w:rsidR="00371517" w:rsidRPr="00380E0D">
        <w:rPr>
          <w:i/>
          <w:iCs/>
          <w:sz w:val="24"/>
          <w:szCs w:val="24"/>
        </w:rPr>
        <w:t>woman</w:t>
      </w:r>
      <w:r w:rsidR="00371517" w:rsidRPr="00380E0D">
        <w:rPr>
          <w:sz w:val="24"/>
          <w:szCs w:val="24"/>
        </w:rPr>
        <w:t xml:space="preserve">” </w:t>
      </w:r>
      <w:r w:rsidR="00F7288A" w:rsidRPr="00380E0D">
        <w:rPr>
          <w:sz w:val="24"/>
          <w:szCs w:val="24"/>
        </w:rPr>
        <w:t xml:space="preserve">in </w:t>
      </w:r>
      <w:r w:rsidR="00E7600A" w:rsidRPr="00380E0D">
        <w:rPr>
          <w:sz w:val="24"/>
          <w:szCs w:val="24"/>
        </w:rPr>
        <w:t>s</w:t>
      </w:r>
      <w:r w:rsidR="00F7288A" w:rsidRPr="00380E0D">
        <w:rPr>
          <w:sz w:val="24"/>
          <w:szCs w:val="24"/>
        </w:rPr>
        <w:t>s.17 and 18 could in effect be different from elsewhere in the Ac</w:t>
      </w:r>
      <w:r w:rsidR="00E7600A" w:rsidRPr="00380E0D">
        <w:rPr>
          <w:sz w:val="24"/>
          <w:szCs w:val="24"/>
        </w:rPr>
        <w:t>t</w:t>
      </w:r>
      <w:r w:rsidR="00310007" w:rsidRPr="00380E0D">
        <w:rPr>
          <w:sz w:val="24"/>
          <w:szCs w:val="24"/>
        </w:rPr>
        <w:t>;</w:t>
      </w:r>
      <w:r w:rsidR="00E7600A" w:rsidRPr="00380E0D">
        <w:rPr>
          <w:sz w:val="24"/>
          <w:szCs w:val="24"/>
        </w:rPr>
        <w:t xml:space="preserve"> </w:t>
      </w:r>
      <w:r w:rsidR="007F1F29" w:rsidRPr="00380E0D">
        <w:rPr>
          <w:sz w:val="24"/>
          <w:szCs w:val="24"/>
        </w:rPr>
        <w:t>a</w:t>
      </w:r>
      <w:r w:rsidR="00903574" w:rsidRPr="00380E0D">
        <w:rPr>
          <w:sz w:val="24"/>
          <w:szCs w:val="24"/>
        </w:rPr>
        <w:t xml:space="preserve"> consistent definition of the terms “</w:t>
      </w:r>
      <w:r w:rsidR="00903574" w:rsidRPr="00380E0D">
        <w:rPr>
          <w:i/>
          <w:iCs/>
          <w:sz w:val="24"/>
          <w:szCs w:val="24"/>
        </w:rPr>
        <w:t>sex</w:t>
      </w:r>
      <w:r w:rsidR="00903574" w:rsidRPr="00380E0D">
        <w:rPr>
          <w:sz w:val="24"/>
          <w:szCs w:val="24"/>
        </w:rPr>
        <w:t>” and “</w:t>
      </w:r>
      <w:r w:rsidR="00903574" w:rsidRPr="00380E0D">
        <w:rPr>
          <w:i/>
          <w:iCs/>
          <w:sz w:val="24"/>
          <w:szCs w:val="24"/>
        </w:rPr>
        <w:t>man</w:t>
      </w:r>
      <w:r w:rsidR="00903574" w:rsidRPr="00380E0D">
        <w:rPr>
          <w:sz w:val="24"/>
          <w:szCs w:val="24"/>
        </w:rPr>
        <w:t>” and “</w:t>
      </w:r>
      <w:r w:rsidR="00903574" w:rsidRPr="00380E0D">
        <w:rPr>
          <w:i/>
          <w:iCs/>
          <w:sz w:val="24"/>
          <w:szCs w:val="24"/>
        </w:rPr>
        <w:t>woman</w:t>
      </w:r>
      <w:r w:rsidR="00903574" w:rsidRPr="00380E0D">
        <w:rPr>
          <w:sz w:val="24"/>
          <w:szCs w:val="24"/>
        </w:rPr>
        <w:t xml:space="preserve">” is required across the </w:t>
      </w:r>
      <w:proofErr w:type="spellStart"/>
      <w:r w:rsidR="00903574" w:rsidRPr="00380E0D">
        <w:rPr>
          <w:sz w:val="24"/>
          <w:szCs w:val="24"/>
        </w:rPr>
        <w:t>E</w:t>
      </w:r>
      <w:r w:rsidR="007F1F29" w:rsidRPr="00380E0D">
        <w:rPr>
          <w:sz w:val="24"/>
          <w:szCs w:val="24"/>
        </w:rPr>
        <w:t>q</w:t>
      </w:r>
      <w:r w:rsidR="00903574" w:rsidRPr="00380E0D">
        <w:rPr>
          <w:sz w:val="24"/>
          <w:szCs w:val="24"/>
        </w:rPr>
        <w:t>A</w:t>
      </w:r>
      <w:proofErr w:type="spellEnd"/>
      <w:r w:rsidR="00903574" w:rsidRPr="00380E0D">
        <w:rPr>
          <w:sz w:val="24"/>
          <w:szCs w:val="24"/>
        </w:rPr>
        <w:t>.  It cannot be right that a term</w:t>
      </w:r>
      <w:r w:rsidR="00E7600A" w:rsidRPr="00380E0D">
        <w:rPr>
          <w:sz w:val="24"/>
          <w:szCs w:val="24"/>
        </w:rPr>
        <w:t xml:space="preserve">, particularly one which is foundational to the </w:t>
      </w:r>
      <w:proofErr w:type="spellStart"/>
      <w:r w:rsidR="00E7600A" w:rsidRPr="00380E0D">
        <w:rPr>
          <w:sz w:val="24"/>
          <w:szCs w:val="24"/>
        </w:rPr>
        <w:t>EqA</w:t>
      </w:r>
      <w:proofErr w:type="spellEnd"/>
      <w:r w:rsidR="00E7600A" w:rsidRPr="00380E0D">
        <w:rPr>
          <w:sz w:val="24"/>
          <w:szCs w:val="24"/>
        </w:rPr>
        <w:t xml:space="preserve"> and the rights it</w:t>
      </w:r>
      <w:r w:rsidR="00EA485A">
        <w:rPr>
          <w:sz w:val="24"/>
          <w:szCs w:val="24"/>
        </w:rPr>
        <w:t xml:space="preserve"> confers</w:t>
      </w:r>
      <w:r w:rsidR="00E7600A" w:rsidRPr="00380E0D">
        <w:rPr>
          <w:sz w:val="24"/>
          <w:szCs w:val="24"/>
        </w:rPr>
        <w:t>,</w:t>
      </w:r>
      <w:r w:rsidR="00903574" w:rsidRPr="00380E0D">
        <w:rPr>
          <w:sz w:val="24"/>
          <w:szCs w:val="24"/>
        </w:rPr>
        <w:t xml:space="preserve"> has one meaning in </w:t>
      </w:r>
      <w:r w:rsidR="000A3AF6" w:rsidRPr="00380E0D">
        <w:rPr>
          <w:sz w:val="24"/>
          <w:szCs w:val="24"/>
        </w:rPr>
        <w:t>most sections</w:t>
      </w:r>
      <w:r w:rsidR="00903574" w:rsidRPr="00380E0D">
        <w:rPr>
          <w:sz w:val="24"/>
          <w:szCs w:val="24"/>
        </w:rPr>
        <w:t xml:space="preserve"> of the Act and another elsewhere</w:t>
      </w:r>
      <w:r w:rsidR="000A3AF6" w:rsidRPr="00380E0D">
        <w:rPr>
          <w:sz w:val="24"/>
          <w:szCs w:val="24"/>
        </w:rPr>
        <w:t xml:space="preserve">. That </w:t>
      </w:r>
      <w:r w:rsidR="00903574" w:rsidRPr="00380E0D">
        <w:rPr>
          <w:sz w:val="24"/>
          <w:szCs w:val="24"/>
        </w:rPr>
        <w:t>offend</w:t>
      </w:r>
      <w:r w:rsidR="00310007" w:rsidRPr="00380E0D">
        <w:rPr>
          <w:sz w:val="24"/>
          <w:szCs w:val="24"/>
        </w:rPr>
        <w:t>s</w:t>
      </w:r>
      <w:r w:rsidR="00903574" w:rsidRPr="00380E0D">
        <w:rPr>
          <w:sz w:val="24"/>
          <w:szCs w:val="24"/>
        </w:rPr>
        <w:t xml:space="preserve"> against the principle of legal certainty</w:t>
      </w:r>
      <w:r w:rsidR="007F1F29" w:rsidRPr="00380E0D">
        <w:rPr>
          <w:sz w:val="24"/>
          <w:szCs w:val="24"/>
        </w:rPr>
        <w:t xml:space="preserve"> </w:t>
      </w:r>
      <w:r w:rsidR="00431297" w:rsidRPr="00380E0D">
        <w:rPr>
          <w:sz w:val="24"/>
          <w:szCs w:val="24"/>
        </w:rPr>
        <w:t xml:space="preserve">and </w:t>
      </w:r>
      <w:r w:rsidR="00310007" w:rsidRPr="00380E0D">
        <w:rPr>
          <w:sz w:val="24"/>
          <w:szCs w:val="24"/>
        </w:rPr>
        <w:t xml:space="preserve">the need for </w:t>
      </w:r>
      <w:r w:rsidR="00431297" w:rsidRPr="00380E0D">
        <w:rPr>
          <w:sz w:val="24"/>
          <w:szCs w:val="24"/>
        </w:rPr>
        <w:t xml:space="preserve">a meaning which is constant and predictable </w:t>
      </w:r>
      <w:r w:rsidR="000C5E1F" w:rsidRPr="00380E0D">
        <w:rPr>
          <w:sz w:val="24"/>
          <w:szCs w:val="24"/>
        </w:rPr>
        <w:t>(</w:t>
      </w:r>
      <w:r w:rsidR="000C5E1F" w:rsidRPr="00380E0D">
        <w:rPr>
          <w:i/>
          <w:iCs/>
          <w:sz w:val="24"/>
          <w:szCs w:val="24"/>
          <w:u w:val="single"/>
        </w:rPr>
        <w:t>Imperial Tobacco Ltd v Lord Advocate</w:t>
      </w:r>
      <w:r w:rsidR="000C5E1F" w:rsidRPr="00380E0D">
        <w:rPr>
          <w:sz w:val="24"/>
          <w:szCs w:val="24"/>
        </w:rPr>
        <w:t xml:space="preserve"> </w:t>
      </w:r>
      <w:r w:rsidR="00431297" w:rsidRPr="00380E0D">
        <w:rPr>
          <w:sz w:val="24"/>
          <w:szCs w:val="24"/>
        </w:rPr>
        <w:t xml:space="preserve">[2012] UKSC 61, </w:t>
      </w:r>
      <w:r w:rsidR="000C5E1F" w:rsidRPr="00380E0D">
        <w:rPr>
          <w:sz w:val="24"/>
          <w:szCs w:val="24"/>
        </w:rPr>
        <w:t>2013 SC (UKSC) 153</w:t>
      </w:r>
      <w:r w:rsidR="00431297" w:rsidRPr="00380E0D">
        <w:rPr>
          <w:sz w:val="24"/>
          <w:szCs w:val="24"/>
        </w:rPr>
        <w:t>,</w:t>
      </w:r>
      <w:r w:rsidR="000C5E1F" w:rsidRPr="00380E0D">
        <w:rPr>
          <w:sz w:val="24"/>
          <w:szCs w:val="24"/>
        </w:rPr>
        <w:t xml:space="preserve"> </w:t>
      </w:r>
      <w:r w:rsidR="00EA485A">
        <w:rPr>
          <w:sz w:val="24"/>
          <w:szCs w:val="24"/>
        </w:rPr>
        <w:t>§</w:t>
      </w:r>
      <w:r w:rsidR="000C5E1F" w:rsidRPr="00380E0D">
        <w:rPr>
          <w:sz w:val="24"/>
          <w:szCs w:val="24"/>
        </w:rPr>
        <w:t>14</w:t>
      </w:r>
      <w:r w:rsidR="00325766">
        <w:rPr>
          <w:sz w:val="24"/>
          <w:szCs w:val="24"/>
        </w:rPr>
        <w:t xml:space="preserve"> </w:t>
      </w:r>
      <w:r w:rsidR="00325766" w:rsidRPr="00325766">
        <w:rPr>
          <w:color w:val="FF0000"/>
          <w:sz w:val="24"/>
          <w:szCs w:val="24"/>
        </w:rPr>
        <w:t>[EF</w:t>
      </w:r>
      <w:r w:rsidR="00C54D23">
        <w:rPr>
          <w:color w:val="FF0000"/>
          <w:sz w:val="24"/>
          <w:szCs w:val="24"/>
        </w:rPr>
        <w:t>.17</w:t>
      </w:r>
      <w:r w:rsidR="004C261C">
        <w:rPr>
          <w:color w:val="FF0000"/>
          <w:sz w:val="24"/>
          <w:szCs w:val="24"/>
        </w:rPr>
        <w:t>87</w:t>
      </w:r>
      <w:r w:rsidR="00325766" w:rsidRPr="00325766">
        <w:rPr>
          <w:color w:val="FF0000"/>
          <w:sz w:val="24"/>
          <w:szCs w:val="24"/>
        </w:rPr>
        <w:t>]</w:t>
      </w:r>
      <w:r w:rsidR="000C5E1F" w:rsidRPr="00380E0D">
        <w:rPr>
          <w:sz w:val="24"/>
          <w:szCs w:val="24"/>
        </w:rPr>
        <w:t>)</w:t>
      </w:r>
      <w:r w:rsidR="00903574" w:rsidRPr="00380E0D">
        <w:rPr>
          <w:sz w:val="24"/>
          <w:szCs w:val="24"/>
        </w:rPr>
        <w:t xml:space="preserve">.  </w:t>
      </w:r>
    </w:p>
    <w:p w14:paraId="5F4031DA" w14:textId="77777777" w:rsidR="00371517" w:rsidRPr="00536BFF" w:rsidRDefault="00371517" w:rsidP="00371517">
      <w:pPr>
        <w:pStyle w:val="ListParagraph"/>
        <w:rPr>
          <w:sz w:val="24"/>
          <w:szCs w:val="24"/>
        </w:rPr>
      </w:pPr>
    </w:p>
    <w:p w14:paraId="3D32C1C3" w14:textId="311660ED" w:rsidR="00371517" w:rsidRPr="00380E0D" w:rsidRDefault="000A3AF6" w:rsidP="00E3607A">
      <w:pPr>
        <w:pStyle w:val="ListParagraph"/>
        <w:numPr>
          <w:ilvl w:val="1"/>
          <w:numId w:val="1"/>
        </w:numPr>
        <w:spacing w:line="360" w:lineRule="auto"/>
        <w:jc w:val="both"/>
        <w:rPr>
          <w:sz w:val="24"/>
          <w:szCs w:val="24"/>
        </w:rPr>
      </w:pPr>
      <w:r w:rsidRPr="00380E0D">
        <w:rPr>
          <w:sz w:val="24"/>
          <w:szCs w:val="24"/>
        </w:rPr>
        <w:t xml:space="preserve">The difficulties created by the second definition, </w:t>
      </w:r>
      <w:r w:rsidR="00BF3846" w:rsidRPr="00380E0D">
        <w:rPr>
          <w:sz w:val="24"/>
          <w:szCs w:val="24"/>
        </w:rPr>
        <w:t xml:space="preserve">although </w:t>
      </w:r>
      <w:r w:rsidRPr="00380E0D">
        <w:rPr>
          <w:sz w:val="24"/>
          <w:szCs w:val="24"/>
        </w:rPr>
        <w:t>significant,</w:t>
      </w:r>
      <w:r w:rsidR="007F1F29" w:rsidRPr="00380E0D">
        <w:rPr>
          <w:sz w:val="24"/>
          <w:szCs w:val="24"/>
        </w:rPr>
        <w:t xml:space="preserve"> are not sufficient to </w:t>
      </w:r>
      <w:r w:rsidR="00BF3846" w:rsidRPr="00380E0D">
        <w:rPr>
          <w:sz w:val="24"/>
          <w:szCs w:val="24"/>
        </w:rPr>
        <w:t>compel</w:t>
      </w:r>
      <w:r w:rsidR="007F1F29" w:rsidRPr="00380E0D">
        <w:rPr>
          <w:sz w:val="24"/>
          <w:szCs w:val="24"/>
        </w:rPr>
        <w:t xml:space="preserve"> </w:t>
      </w:r>
      <w:r w:rsidR="00332D6E" w:rsidRPr="00380E0D">
        <w:rPr>
          <w:sz w:val="24"/>
          <w:szCs w:val="24"/>
        </w:rPr>
        <w:t xml:space="preserve">this Court to </w:t>
      </w:r>
      <w:r w:rsidR="00BF3846" w:rsidRPr="00380E0D">
        <w:rPr>
          <w:sz w:val="24"/>
          <w:szCs w:val="24"/>
        </w:rPr>
        <w:t xml:space="preserve">adopt the first </w:t>
      </w:r>
      <w:proofErr w:type="gramStart"/>
      <w:r w:rsidR="00BF3846" w:rsidRPr="00380E0D">
        <w:rPr>
          <w:sz w:val="24"/>
          <w:szCs w:val="24"/>
        </w:rPr>
        <w:t>definition</w:t>
      </w:r>
      <w:r w:rsidR="00EA485A">
        <w:rPr>
          <w:sz w:val="24"/>
          <w:szCs w:val="24"/>
        </w:rPr>
        <w:t>, but</w:t>
      </w:r>
      <w:proofErr w:type="gramEnd"/>
      <w:r w:rsidR="00EA485A">
        <w:rPr>
          <w:sz w:val="24"/>
          <w:szCs w:val="24"/>
        </w:rPr>
        <w:t xml:space="preserve"> </w:t>
      </w:r>
      <w:r w:rsidR="000F6C0F" w:rsidRPr="00380E0D">
        <w:rPr>
          <w:sz w:val="24"/>
          <w:szCs w:val="24"/>
        </w:rPr>
        <w:t xml:space="preserve">are properly for Parliament to </w:t>
      </w:r>
      <w:r w:rsidR="00EA485A">
        <w:rPr>
          <w:sz w:val="24"/>
          <w:szCs w:val="24"/>
        </w:rPr>
        <w:t xml:space="preserve">consider and </w:t>
      </w:r>
      <w:r w:rsidR="000F6C0F" w:rsidRPr="00380E0D">
        <w:rPr>
          <w:sz w:val="24"/>
          <w:szCs w:val="24"/>
        </w:rPr>
        <w:t>resolve</w:t>
      </w:r>
      <w:r w:rsidR="00BF3846" w:rsidRPr="00380E0D">
        <w:rPr>
          <w:sz w:val="24"/>
          <w:szCs w:val="24"/>
        </w:rPr>
        <w:t>.</w:t>
      </w:r>
      <w:r w:rsidR="007F1F29" w:rsidRPr="00380E0D">
        <w:rPr>
          <w:sz w:val="24"/>
          <w:szCs w:val="24"/>
        </w:rPr>
        <w:t xml:space="preserve"> </w:t>
      </w:r>
    </w:p>
    <w:p w14:paraId="22B3861C" w14:textId="77777777" w:rsidR="00D4187B" w:rsidRPr="00380E0D" w:rsidRDefault="00D4187B" w:rsidP="00D4187B">
      <w:pPr>
        <w:pStyle w:val="ListParagraph"/>
        <w:rPr>
          <w:sz w:val="24"/>
          <w:szCs w:val="24"/>
        </w:rPr>
      </w:pPr>
    </w:p>
    <w:p w14:paraId="6BDF2530" w14:textId="1603E482" w:rsidR="00F3238D" w:rsidRPr="00380E0D" w:rsidRDefault="00074E3F" w:rsidP="00074E3F">
      <w:pPr>
        <w:pStyle w:val="Heading3"/>
        <w:rPr>
          <w:sz w:val="24"/>
          <w:szCs w:val="24"/>
        </w:rPr>
      </w:pPr>
      <w:r w:rsidRPr="00380E0D">
        <w:rPr>
          <w:sz w:val="24"/>
          <w:szCs w:val="24"/>
        </w:rPr>
        <w:t>(</w:t>
      </w:r>
      <w:proofErr w:type="spellStart"/>
      <w:r w:rsidRPr="00380E0D">
        <w:rPr>
          <w:sz w:val="24"/>
          <w:szCs w:val="24"/>
        </w:rPr>
        <w:t>i</w:t>
      </w:r>
      <w:proofErr w:type="spellEnd"/>
      <w:r w:rsidRPr="00380E0D">
        <w:rPr>
          <w:sz w:val="24"/>
          <w:szCs w:val="24"/>
        </w:rPr>
        <w:t xml:space="preserve">) </w:t>
      </w:r>
      <w:r w:rsidR="00F3238D" w:rsidRPr="00380E0D">
        <w:rPr>
          <w:sz w:val="24"/>
          <w:szCs w:val="24"/>
        </w:rPr>
        <w:t xml:space="preserve">Meaning of ss. 11 and 212 </w:t>
      </w:r>
      <w:proofErr w:type="spellStart"/>
      <w:r w:rsidR="00F3238D" w:rsidRPr="00380E0D">
        <w:rPr>
          <w:sz w:val="24"/>
          <w:szCs w:val="24"/>
        </w:rPr>
        <w:t>EqA</w:t>
      </w:r>
      <w:proofErr w:type="spellEnd"/>
    </w:p>
    <w:p w14:paraId="1B875C61" w14:textId="6C557954" w:rsidR="0080421E" w:rsidRPr="00380E0D" w:rsidRDefault="000A3AF6" w:rsidP="00FB40E9">
      <w:pPr>
        <w:pStyle w:val="ListParagraph"/>
        <w:numPr>
          <w:ilvl w:val="0"/>
          <w:numId w:val="1"/>
        </w:numPr>
        <w:spacing w:line="360" w:lineRule="auto"/>
        <w:jc w:val="both"/>
        <w:rPr>
          <w:sz w:val="24"/>
          <w:szCs w:val="24"/>
        </w:rPr>
      </w:pPr>
      <w:r w:rsidRPr="00380E0D">
        <w:rPr>
          <w:sz w:val="24"/>
          <w:szCs w:val="24"/>
        </w:rPr>
        <w:t>The</w:t>
      </w:r>
      <w:r w:rsidR="00CB101E" w:rsidRPr="00380E0D">
        <w:rPr>
          <w:sz w:val="24"/>
          <w:szCs w:val="24"/>
        </w:rPr>
        <w:t xml:space="preserve"> only positive indication relied upon by the Appellant that Parliament intended in the </w:t>
      </w:r>
      <w:proofErr w:type="spellStart"/>
      <w:r w:rsidRPr="00380E0D">
        <w:rPr>
          <w:sz w:val="24"/>
          <w:szCs w:val="24"/>
        </w:rPr>
        <w:t>EqA</w:t>
      </w:r>
      <w:proofErr w:type="spellEnd"/>
      <w:r w:rsidRPr="00380E0D">
        <w:rPr>
          <w:sz w:val="24"/>
          <w:szCs w:val="24"/>
        </w:rPr>
        <w:t xml:space="preserve"> to alter the position under the SDA</w:t>
      </w:r>
      <w:r w:rsidR="00DB37C7" w:rsidRPr="00380E0D">
        <w:rPr>
          <w:sz w:val="24"/>
          <w:szCs w:val="24"/>
        </w:rPr>
        <w:t xml:space="preserve">, is the difference in wording between s. 92 SDA and s. 212 </w:t>
      </w:r>
      <w:proofErr w:type="spellStart"/>
      <w:r w:rsidR="00DB37C7" w:rsidRPr="00380E0D">
        <w:rPr>
          <w:sz w:val="24"/>
          <w:szCs w:val="24"/>
        </w:rPr>
        <w:t>EqA</w:t>
      </w:r>
      <w:proofErr w:type="spellEnd"/>
      <w:r w:rsidR="00DB37C7" w:rsidRPr="00380E0D">
        <w:rPr>
          <w:sz w:val="24"/>
          <w:szCs w:val="24"/>
        </w:rPr>
        <w:t xml:space="preserve"> </w:t>
      </w:r>
      <w:r w:rsidR="00CC45E7" w:rsidRPr="00380E0D">
        <w:rPr>
          <w:sz w:val="24"/>
          <w:szCs w:val="24"/>
        </w:rPr>
        <w:t>[</w:t>
      </w:r>
      <w:r w:rsidR="00DB37C7" w:rsidRPr="00380E0D">
        <w:rPr>
          <w:sz w:val="24"/>
          <w:szCs w:val="24"/>
        </w:rPr>
        <w:t>AC</w:t>
      </w:r>
      <w:r w:rsidR="000162B4" w:rsidRPr="00380E0D">
        <w:rPr>
          <w:sz w:val="24"/>
          <w:szCs w:val="24"/>
        </w:rPr>
        <w:t>§55</w:t>
      </w:r>
      <w:r w:rsidR="00325766">
        <w:rPr>
          <w:sz w:val="24"/>
          <w:szCs w:val="24"/>
        </w:rPr>
        <w:t xml:space="preserve"> </w:t>
      </w:r>
      <w:r w:rsidR="00325766" w:rsidRPr="00325766">
        <w:rPr>
          <w:color w:val="FF0000"/>
          <w:sz w:val="24"/>
          <w:szCs w:val="24"/>
        </w:rPr>
        <w:t>EF</w:t>
      </w:r>
      <w:r w:rsidR="003706F3">
        <w:rPr>
          <w:color w:val="FF0000"/>
          <w:sz w:val="24"/>
          <w:szCs w:val="24"/>
        </w:rPr>
        <w:t>.1</w:t>
      </w:r>
      <w:r w:rsidR="004C261C">
        <w:rPr>
          <w:color w:val="FF0000"/>
          <w:sz w:val="24"/>
          <w:szCs w:val="24"/>
        </w:rPr>
        <w:t>77</w:t>
      </w:r>
      <w:r w:rsidR="00CC45E7" w:rsidRPr="00380E0D">
        <w:rPr>
          <w:sz w:val="24"/>
          <w:szCs w:val="24"/>
        </w:rPr>
        <w:t>]</w:t>
      </w:r>
      <w:r w:rsidR="00DB37C7" w:rsidRPr="00380E0D">
        <w:rPr>
          <w:sz w:val="24"/>
          <w:szCs w:val="24"/>
        </w:rPr>
        <w:t xml:space="preserve">.  </w:t>
      </w:r>
      <w:r w:rsidR="00CF129E">
        <w:rPr>
          <w:sz w:val="24"/>
          <w:szCs w:val="24"/>
        </w:rPr>
        <w:t>T</w:t>
      </w:r>
      <w:r w:rsidR="00DB37C7" w:rsidRPr="00380E0D">
        <w:rPr>
          <w:sz w:val="24"/>
          <w:szCs w:val="24"/>
        </w:rPr>
        <w:t xml:space="preserve">he Commission can see no </w:t>
      </w:r>
      <w:r w:rsidR="00EE23C7" w:rsidRPr="00380E0D">
        <w:rPr>
          <w:sz w:val="24"/>
          <w:szCs w:val="24"/>
        </w:rPr>
        <w:t xml:space="preserve">material difference between s.92 </w:t>
      </w:r>
      <w:r w:rsidRPr="00380E0D">
        <w:rPr>
          <w:sz w:val="24"/>
          <w:szCs w:val="24"/>
        </w:rPr>
        <w:t>SDA</w:t>
      </w:r>
      <w:r w:rsidR="00EE23C7" w:rsidRPr="00380E0D">
        <w:rPr>
          <w:sz w:val="24"/>
          <w:szCs w:val="24"/>
        </w:rPr>
        <w:t xml:space="preserve"> (“</w:t>
      </w:r>
      <w:r w:rsidR="00EE23C7" w:rsidRPr="00380E0D">
        <w:rPr>
          <w:i/>
          <w:iCs/>
          <w:sz w:val="24"/>
          <w:szCs w:val="24"/>
        </w:rPr>
        <w:t>’woman’ includes a female of any age</w:t>
      </w:r>
      <w:r w:rsidR="00EE23C7" w:rsidRPr="00380E0D">
        <w:rPr>
          <w:sz w:val="24"/>
          <w:szCs w:val="24"/>
        </w:rPr>
        <w:t xml:space="preserve">”) and s. 212(1) </w:t>
      </w:r>
      <w:proofErr w:type="spellStart"/>
      <w:r w:rsidR="00EE23C7" w:rsidRPr="00380E0D">
        <w:rPr>
          <w:sz w:val="24"/>
          <w:szCs w:val="24"/>
        </w:rPr>
        <w:t>EqA</w:t>
      </w:r>
      <w:proofErr w:type="spellEnd"/>
      <w:r w:rsidR="00EE23C7" w:rsidRPr="00380E0D">
        <w:rPr>
          <w:sz w:val="24"/>
          <w:szCs w:val="24"/>
        </w:rPr>
        <w:t xml:space="preserve"> (“</w:t>
      </w:r>
      <w:r w:rsidR="00EE23C7" w:rsidRPr="00380E0D">
        <w:rPr>
          <w:i/>
          <w:iCs/>
          <w:sz w:val="24"/>
          <w:szCs w:val="24"/>
        </w:rPr>
        <w:t>’woman’ means a female of any age</w:t>
      </w:r>
      <w:r w:rsidR="00EE23C7" w:rsidRPr="00380E0D">
        <w:rPr>
          <w:sz w:val="24"/>
          <w:szCs w:val="24"/>
        </w:rPr>
        <w:t xml:space="preserve">”). The </w:t>
      </w:r>
      <w:r w:rsidR="00E33BDB">
        <w:rPr>
          <w:sz w:val="24"/>
          <w:szCs w:val="24"/>
        </w:rPr>
        <w:t xml:space="preserve">purpose of </w:t>
      </w:r>
      <w:proofErr w:type="gramStart"/>
      <w:r w:rsidR="00E33BDB">
        <w:rPr>
          <w:sz w:val="24"/>
          <w:szCs w:val="24"/>
        </w:rPr>
        <w:t>both of these</w:t>
      </w:r>
      <w:proofErr w:type="gramEnd"/>
      <w:r w:rsidR="00E33BDB">
        <w:rPr>
          <w:sz w:val="24"/>
          <w:szCs w:val="24"/>
        </w:rPr>
        <w:t xml:space="preserve"> provisions is to put beyond doubt that “</w:t>
      </w:r>
      <w:r w:rsidR="00E33BDB" w:rsidRPr="00FB40E9">
        <w:rPr>
          <w:i/>
          <w:iCs/>
          <w:sz w:val="24"/>
          <w:szCs w:val="24"/>
        </w:rPr>
        <w:t>woman</w:t>
      </w:r>
      <w:r w:rsidR="00E33BDB">
        <w:rPr>
          <w:sz w:val="24"/>
          <w:szCs w:val="24"/>
        </w:rPr>
        <w:t>” includes “</w:t>
      </w:r>
      <w:r w:rsidR="00E33BDB" w:rsidRPr="00FB40E9">
        <w:rPr>
          <w:i/>
          <w:iCs/>
          <w:sz w:val="24"/>
          <w:szCs w:val="24"/>
        </w:rPr>
        <w:t>girl</w:t>
      </w:r>
      <w:r w:rsidR="00E33BDB">
        <w:rPr>
          <w:sz w:val="24"/>
          <w:szCs w:val="24"/>
        </w:rPr>
        <w:t xml:space="preserve">”.  The </w:t>
      </w:r>
      <w:r w:rsidR="00EE23C7" w:rsidRPr="00380E0D">
        <w:rPr>
          <w:sz w:val="24"/>
          <w:szCs w:val="24"/>
        </w:rPr>
        <w:t>terms “</w:t>
      </w:r>
      <w:proofErr w:type="gramStart"/>
      <w:r w:rsidR="00EE23C7" w:rsidRPr="00380E0D">
        <w:rPr>
          <w:i/>
          <w:iCs/>
          <w:sz w:val="24"/>
          <w:szCs w:val="24"/>
        </w:rPr>
        <w:t>includes</w:t>
      </w:r>
      <w:proofErr w:type="gramEnd"/>
      <w:r w:rsidR="00EE23C7" w:rsidRPr="00380E0D">
        <w:rPr>
          <w:sz w:val="24"/>
          <w:szCs w:val="24"/>
        </w:rPr>
        <w:t>” and “</w:t>
      </w:r>
      <w:r w:rsidR="00EE23C7" w:rsidRPr="00380E0D">
        <w:rPr>
          <w:i/>
          <w:iCs/>
          <w:sz w:val="24"/>
          <w:szCs w:val="24"/>
        </w:rPr>
        <w:t>means</w:t>
      </w:r>
      <w:r w:rsidR="00EE23C7" w:rsidRPr="00380E0D">
        <w:rPr>
          <w:sz w:val="24"/>
          <w:szCs w:val="24"/>
        </w:rPr>
        <w:t xml:space="preserve">” are not sufficiently or obviously distinctive enough for this Court to draw the conclusion that the </w:t>
      </w:r>
      <w:proofErr w:type="spellStart"/>
      <w:r w:rsidR="00EE23C7" w:rsidRPr="00380E0D">
        <w:rPr>
          <w:sz w:val="24"/>
          <w:szCs w:val="24"/>
        </w:rPr>
        <w:t>EqA</w:t>
      </w:r>
      <w:proofErr w:type="spellEnd"/>
      <w:r w:rsidR="00EE23C7" w:rsidRPr="00380E0D">
        <w:rPr>
          <w:sz w:val="24"/>
          <w:szCs w:val="24"/>
        </w:rPr>
        <w:t xml:space="preserve"> intended to </w:t>
      </w:r>
      <w:r w:rsidR="00DB37C7" w:rsidRPr="00380E0D">
        <w:rPr>
          <w:sz w:val="24"/>
          <w:szCs w:val="24"/>
        </w:rPr>
        <w:t xml:space="preserve">alter the position under the </w:t>
      </w:r>
      <w:r w:rsidR="00E0699B" w:rsidRPr="00380E0D">
        <w:rPr>
          <w:sz w:val="24"/>
          <w:szCs w:val="24"/>
        </w:rPr>
        <w:t>SDA and</w:t>
      </w:r>
      <w:r w:rsidR="00DB37C7" w:rsidRPr="00380E0D">
        <w:rPr>
          <w:sz w:val="24"/>
          <w:szCs w:val="24"/>
        </w:rPr>
        <w:t xml:space="preserve"> </w:t>
      </w:r>
      <w:r w:rsidR="00D769F0" w:rsidRPr="00380E0D">
        <w:rPr>
          <w:sz w:val="24"/>
          <w:szCs w:val="24"/>
        </w:rPr>
        <w:lastRenderedPageBreak/>
        <w:t>reverse the effect</w:t>
      </w:r>
      <w:r w:rsidR="00DB37C7" w:rsidRPr="00380E0D">
        <w:rPr>
          <w:sz w:val="24"/>
          <w:szCs w:val="24"/>
        </w:rPr>
        <w:t xml:space="preserve"> which the GRA had had on </w:t>
      </w:r>
      <w:r w:rsidR="00D769F0" w:rsidRPr="00380E0D">
        <w:rPr>
          <w:sz w:val="24"/>
          <w:szCs w:val="24"/>
        </w:rPr>
        <w:t>the SDA.</w:t>
      </w:r>
      <w:r w:rsidR="00236225">
        <w:rPr>
          <w:sz w:val="24"/>
          <w:szCs w:val="24"/>
        </w:rPr>
        <w:t xml:space="preserve">  There is a presumption that Parliament does not intend implied repeal, which is stronger the </w:t>
      </w:r>
      <w:proofErr w:type="gramStart"/>
      <w:r w:rsidR="00236225">
        <w:rPr>
          <w:sz w:val="24"/>
          <w:szCs w:val="24"/>
        </w:rPr>
        <w:t>more weighty</w:t>
      </w:r>
      <w:proofErr w:type="gramEnd"/>
      <w:r w:rsidR="00236225">
        <w:rPr>
          <w:sz w:val="24"/>
          <w:szCs w:val="24"/>
        </w:rPr>
        <w:t xml:space="preserve"> the enactment that is said to have been impliedly repealed (</w:t>
      </w:r>
      <w:r w:rsidR="00236225" w:rsidRPr="00236225">
        <w:rPr>
          <w:i/>
          <w:sz w:val="24"/>
          <w:szCs w:val="24"/>
          <w:u w:val="single"/>
        </w:rPr>
        <w:t>H v Lord Advocate</w:t>
      </w:r>
      <w:r w:rsidR="00236225" w:rsidRPr="00236225">
        <w:rPr>
          <w:sz w:val="24"/>
          <w:szCs w:val="24"/>
        </w:rPr>
        <w:t xml:space="preserve"> [2012] UKSC 24, [2013] 1 AC 413, §30</w:t>
      </w:r>
      <w:r w:rsidR="00236225">
        <w:rPr>
          <w:sz w:val="24"/>
          <w:szCs w:val="24"/>
        </w:rPr>
        <w:t>)</w:t>
      </w:r>
      <w:r w:rsidR="00325766">
        <w:rPr>
          <w:sz w:val="24"/>
          <w:szCs w:val="24"/>
        </w:rPr>
        <w:t xml:space="preserve"> </w:t>
      </w:r>
      <w:r w:rsidR="00325766" w:rsidRPr="00325766">
        <w:rPr>
          <w:color w:val="FF0000"/>
          <w:sz w:val="24"/>
          <w:szCs w:val="24"/>
        </w:rPr>
        <w:t>[EF</w:t>
      </w:r>
      <w:r w:rsidR="003706F3">
        <w:rPr>
          <w:color w:val="FF0000"/>
          <w:sz w:val="24"/>
          <w:szCs w:val="24"/>
        </w:rPr>
        <w:t>.</w:t>
      </w:r>
      <w:r w:rsidR="00565023">
        <w:rPr>
          <w:color w:val="FF0000"/>
          <w:sz w:val="24"/>
          <w:szCs w:val="24"/>
        </w:rPr>
        <w:t>1733</w:t>
      </w:r>
      <w:r w:rsidR="00325766" w:rsidRPr="00325766">
        <w:rPr>
          <w:color w:val="FF0000"/>
          <w:sz w:val="24"/>
          <w:szCs w:val="24"/>
        </w:rPr>
        <w:t>]</w:t>
      </w:r>
      <w:r w:rsidR="00236225">
        <w:rPr>
          <w:sz w:val="24"/>
          <w:szCs w:val="24"/>
        </w:rPr>
        <w:t>.</w:t>
      </w:r>
      <w:r w:rsidR="00D769F0" w:rsidRPr="00380E0D">
        <w:rPr>
          <w:sz w:val="24"/>
          <w:szCs w:val="24"/>
        </w:rPr>
        <w:t xml:space="preserve"> </w:t>
      </w:r>
    </w:p>
    <w:p w14:paraId="1FB8C25F" w14:textId="77777777" w:rsidR="000C5E1F" w:rsidRPr="00380E0D" w:rsidRDefault="000C5E1F" w:rsidP="000C5E1F">
      <w:pPr>
        <w:pStyle w:val="ListParagraph"/>
        <w:rPr>
          <w:sz w:val="24"/>
          <w:szCs w:val="24"/>
        </w:rPr>
      </w:pPr>
    </w:p>
    <w:p w14:paraId="29100B85" w14:textId="03431FAF" w:rsidR="000C5E1F" w:rsidRPr="00380E0D" w:rsidRDefault="000C5E1F" w:rsidP="00FB40E9">
      <w:pPr>
        <w:pStyle w:val="Heading3"/>
        <w:rPr>
          <w:sz w:val="24"/>
          <w:szCs w:val="24"/>
        </w:rPr>
      </w:pPr>
      <w:r w:rsidRPr="00380E0D">
        <w:rPr>
          <w:sz w:val="24"/>
          <w:szCs w:val="24"/>
        </w:rPr>
        <w:t xml:space="preserve">(ii) Context of the </w:t>
      </w:r>
      <w:proofErr w:type="spellStart"/>
      <w:r w:rsidRPr="00380E0D">
        <w:rPr>
          <w:sz w:val="24"/>
          <w:szCs w:val="24"/>
        </w:rPr>
        <w:t>EqA</w:t>
      </w:r>
      <w:proofErr w:type="spellEnd"/>
    </w:p>
    <w:p w14:paraId="2E55B511" w14:textId="1D18388D" w:rsidR="000C5E1F" w:rsidRPr="00380E0D" w:rsidRDefault="00B80EB7" w:rsidP="00D769F0">
      <w:pPr>
        <w:pStyle w:val="ListParagraph"/>
        <w:numPr>
          <w:ilvl w:val="0"/>
          <w:numId w:val="1"/>
        </w:numPr>
        <w:spacing w:line="360" w:lineRule="auto"/>
        <w:jc w:val="both"/>
        <w:rPr>
          <w:sz w:val="24"/>
          <w:szCs w:val="24"/>
        </w:rPr>
      </w:pPr>
      <w:r w:rsidRPr="00380E0D">
        <w:rPr>
          <w:sz w:val="24"/>
          <w:szCs w:val="24"/>
        </w:rPr>
        <w:t>As held by the IH at §33</w:t>
      </w:r>
      <w:r w:rsidR="000A3AF6" w:rsidRPr="00380E0D">
        <w:rPr>
          <w:sz w:val="24"/>
          <w:szCs w:val="24"/>
        </w:rPr>
        <w:t>,</w:t>
      </w:r>
      <w:r w:rsidRPr="00380E0D">
        <w:rPr>
          <w:sz w:val="24"/>
          <w:szCs w:val="24"/>
        </w:rPr>
        <w:t xml:space="preserve"> the </w:t>
      </w:r>
      <w:r w:rsidR="00DB37C7" w:rsidRPr="00380E0D">
        <w:rPr>
          <w:sz w:val="24"/>
          <w:szCs w:val="24"/>
        </w:rPr>
        <w:t xml:space="preserve">relevant </w:t>
      </w:r>
      <w:r w:rsidRPr="00380E0D">
        <w:rPr>
          <w:sz w:val="24"/>
          <w:szCs w:val="24"/>
        </w:rPr>
        <w:t xml:space="preserve">context of the </w:t>
      </w:r>
      <w:proofErr w:type="spellStart"/>
      <w:r w:rsidRPr="00380E0D">
        <w:rPr>
          <w:sz w:val="24"/>
          <w:szCs w:val="24"/>
        </w:rPr>
        <w:t>EqA</w:t>
      </w:r>
      <w:proofErr w:type="spellEnd"/>
      <w:r w:rsidRPr="00380E0D">
        <w:rPr>
          <w:sz w:val="24"/>
          <w:szCs w:val="24"/>
        </w:rPr>
        <w:t xml:space="preserve"> must include the GRA, </w:t>
      </w:r>
      <w:r w:rsidR="000A3AF6" w:rsidRPr="00380E0D">
        <w:rPr>
          <w:sz w:val="24"/>
          <w:szCs w:val="24"/>
        </w:rPr>
        <w:t xml:space="preserve">since </w:t>
      </w:r>
      <w:r w:rsidRPr="00380E0D">
        <w:rPr>
          <w:sz w:val="24"/>
          <w:szCs w:val="24"/>
        </w:rPr>
        <w:t xml:space="preserve">it is clear </w:t>
      </w:r>
      <w:r w:rsidR="000A3AF6" w:rsidRPr="00380E0D">
        <w:rPr>
          <w:sz w:val="24"/>
          <w:szCs w:val="24"/>
        </w:rPr>
        <w:t xml:space="preserve">from the </w:t>
      </w:r>
      <w:proofErr w:type="spellStart"/>
      <w:r w:rsidR="000A3AF6" w:rsidRPr="00380E0D">
        <w:rPr>
          <w:sz w:val="24"/>
          <w:szCs w:val="24"/>
        </w:rPr>
        <w:t>EqA</w:t>
      </w:r>
      <w:proofErr w:type="spellEnd"/>
      <w:r w:rsidR="000A3AF6" w:rsidRPr="00380E0D">
        <w:rPr>
          <w:sz w:val="24"/>
          <w:szCs w:val="24"/>
        </w:rPr>
        <w:t xml:space="preserve"> </w:t>
      </w:r>
      <w:r w:rsidRPr="00380E0D">
        <w:rPr>
          <w:sz w:val="24"/>
          <w:szCs w:val="24"/>
        </w:rPr>
        <w:t xml:space="preserve">that Parliament </w:t>
      </w:r>
      <w:r w:rsidR="00DB37C7" w:rsidRPr="00380E0D">
        <w:rPr>
          <w:sz w:val="24"/>
          <w:szCs w:val="24"/>
        </w:rPr>
        <w:t xml:space="preserve">had </w:t>
      </w:r>
      <w:r w:rsidRPr="00380E0D">
        <w:rPr>
          <w:sz w:val="24"/>
          <w:szCs w:val="24"/>
        </w:rPr>
        <w:t>had the GRA in mind</w:t>
      </w:r>
      <w:r w:rsidR="000A3AF6" w:rsidRPr="00380E0D">
        <w:rPr>
          <w:sz w:val="24"/>
          <w:szCs w:val="24"/>
        </w:rPr>
        <w:t xml:space="preserve"> when passing the </w:t>
      </w:r>
      <w:proofErr w:type="spellStart"/>
      <w:r w:rsidR="000A3AF6" w:rsidRPr="00380E0D">
        <w:rPr>
          <w:sz w:val="24"/>
          <w:szCs w:val="24"/>
        </w:rPr>
        <w:t>EqA</w:t>
      </w:r>
      <w:proofErr w:type="spellEnd"/>
      <w:r w:rsidR="005C1B41" w:rsidRPr="00380E0D">
        <w:rPr>
          <w:sz w:val="24"/>
          <w:szCs w:val="24"/>
        </w:rPr>
        <w:t xml:space="preserve">.  </w:t>
      </w:r>
      <w:r w:rsidR="000A3AF6" w:rsidRPr="00380E0D">
        <w:rPr>
          <w:sz w:val="24"/>
          <w:szCs w:val="24"/>
        </w:rPr>
        <w:t xml:space="preserve">The </w:t>
      </w:r>
      <w:proofErr w:type="spellStart"/>
      <w:r w:rsidR="000A3AF6" w:rsidRPr="00380E0D">
        <w:rPr>
          <w:sz w:val="24"/>
          <w:szCs w:val="24"/>
        </w:rPr>
        <w:t>EqA</w:t>
      </w:r>
      <w:proofErr w:type="spellEnd"/>
      <w:r w:rsidRPr="00380E0D">
        <w:rPr>
          <w:sz w:val="24"/>
          <w:szCs w:val="24"/>
        </w:rPr>
        <w:t xml:space="preserve"> repealed aspects of the GRA (</w:t>
      </w:r>
      <w:r w:rsidR="006873AB" w:rsidRPr="00380E0D">
        <w:rPr>
          <w:sz w:val="24"/>
          <w:szCs w:val="24"/>
        </w:rPr>
        <w:t xml:space="preserve">Sch. </w:t>
      </w:r>
      <w:r w:rsidR="005C1B41" w:rsidRPr="00380E0D">
        <w:rPr>
          <w:sz w:val="24"/>
          <w:szCs w:val="24"/>
        </w:rPr>
        <w:t>6, GRA</w:t>
      </w:r>
      <w:r w:rsidR="00526B11" w:rsidRPr="00380E0D">
        <w:rPr>
          <w:sz w:val="24"/>
          <w:szCs w:val="24"/>
        </w:rPr>
        <w:t>)</w:t>
      </w:r>
      <w:r w:rsidRPr="00380E0D">
        <w:rPr>
          <w:sz w:val="24"/>
          <w:szCs w:val="24"/>
        </w:rPr>
        <w:t>, where it had ma</w:t>
      </w:r>
      <w:r w:rsidR="005C1B41" w:rsidRPr="00380E0D">
        <w:rPr>
          <w:sz w:val="24"/>
          <w:szCs w:val="24"/>
        </w:rPr>
        <w:t>d</w:t>
      </w:r>
      <w:r w:rsidRPr="00380E0D">
        <w:rPr>
          <w:sz w:val="24"/>
          <w:szCs w:val="24"/>
        </w:rPr>
        <w:t xml:space="preserve">e express exceptions </w:t>
      </w:r>
      <w:r w:rsidR="000A3AF6" w:rsidRPr="00380E0D">
        <w:rPr>
          <w:sz w:val="24"/>
          <w:szCs w:val="24"/>
        </w:rPr>
        <w:t xml:space="preserve">as to </w:t>
      </w:r>
      <w:r w:rsidRPr="00380E0D">
        <w:rPr>
          <w:sz w:val="24"/>
          <w:szCs w:val="24"/>
        </w:rPr>
        <w:t>the application of</w:t>
      </w:r>
      <w:r w:rsidR="00C82134" w:rsidRPr="00380E0D">
        <w:rPr>
          <w:sz w:val="24"/>
          <w:szCs w:val="24"/>
        </w:rPr>
        <w:t xml:space="preserve"> </w:t>
      </w:r>
      <w:r w:rsidRPr="00380E0D">
        <w:rPr>
          <w:sz w:val="24"/>
          <w:szCs w:val="24"/>
        </w:rPr>
        <w:t xml:space="preserve">a GRC on sport </w:t>
      </w:r>
      <w:r w:rsidR="005C1B41" w:rsidRPr="00380E0D">
        <w:rPr>
          <w:sz w:val="24"/>
          <w:szCs w:val="24"/>
        </w:rPr>
        <w:t>(</w:t>
      </w:r>
      <w:r w:rsidR="007507FC">
        <w:rPr>
          <w:sz w:val="24"/>
          <w:szCs w:val="24"/>
        </w:rPr>
        <w:t xml:space="preserve">see </w:t>
      </w:r>
      <w:r w:rsidRPr="00380E0D">
        <w:rPr>
          <w:sz w:val="24"/>
          <w:szCs w:val="24"/>
        </w:rPr>
        <w:t>s.19</w:t>
      </w:r>
      <w:r w:rsidR="005C1B41" w:rsidRPr="00380E0D">
        <w:rPr>
          <w:sz w:val="24"/>
          <w:szCs w:val="24"/>
        </w:rPr>
        <w:t xml:space="preserve"> GRA</w:t>
      </w:r>
      <w:r w:rsidRPr="00380E0D">
        <w:rPr>
          <w:sz w:val="24"/>
          <w:szCs w:val="24"/>
        </w:rPr>
        <w:t xml:space="preserve">) which </w:t>
      </w:r>
      <w:r w:rsidR="005C1B41" w:rsidRPr="00380E0D">
        <w:rPr>
          <w:sz w:val="24"/>
          <w:szCs w:val="24"/>
        </w:rPr>
        <w:t xml:space="preserve">subsequently became s.195(2) </w:t>
      </w:r>
      <w:proofErr w:type="spellStart"/>
      <w:r w:rsidR="005C1B41" w:rsidRPr="00380E0D">
        <w:rPr>
          <w:sz w:val="24"/>
          <w:szCs w:val="24"/>
        </w:rPr>
        <w:t>EqA</w:t>
      </w:r>
      <w:proofErr w:type="spellEnd"/>
      <w:r w:rsidR="007507FC">
        <w:rPr>
          <w:sz w:val="24"/>
          <w:szCs w:val="24"/>
        </w:rPr>
        <w:t>)</w:t>
      </w:r>
      <w:r w:rsidR="000A3AF6" w:rsidRPr="00380E0D">
        <w:rPr>
          <w:sz w:val="24"/>
          <w:szCs w:val="24"/>
        </w:rPr>
        <w:t xml:space="preserve">; see also </w:t>
      </w:r>
      <w:r w:rsidR="005C1B41" w:rsidRPr="00380E0D">
        <w:rPr>
          <w:sz w:val="24"/>
          <w:szCs w:val="24"/>
        </w:rPr>
        <w:t xml:space="preserve">the provisions of the </w:t>
      </w:r>
      <w:proofErr w:type="spellStart"/>
      <w:r w:rsidR="005C1B41" w:rsidRPr="00380E0D">
        <w:rPr>
          <w:sz w:val="24"/>
          <w:szCs w:val="24"/>
        </w:rPr>
        <w:t>EqA</w:t>
      </w:r>
      <w:proofErr w:type="spellEnd"/>
      <w:r w:rsidR="005C1B41" w:rsidRPr="00380E0D">
        <w:rPr>
          <w:sz w:val="24"/>
          <w:szCs w:val="24"/>
        </w:rPr>
        <w:t xml:space="preserve"> on the solemnisation of marriages (§24 of Part 6 of </w:t>
      </w:r>
      <w:r w:rsidR="00A64D4E" w:rsidRPr="00380E0D">
        <w:rPr>
          <w:sz w:val="24"/>
          <w:szCs w:val="24"/>
        </w:rPr>
        <w:t>Sch.</w:t>
      </w:r>
      <w:r w:rsidR="005C1B41" w:rsidRPr="00380E0D">
        <w:rPr>
          <w:sz w:val="24"/>
          <w:szCs w:val="24"/>
        </w:rPr>
        <w:t xml:space="preserve">3 </w:t>
      </w:r>
      <w:proofErr w:type="spellStart"/>
      <w:r w:rsidR="005C1B41" w:rsidRPr="00380E0D">
        <w:rPr>
          <w:sz w:val="24"/>
          <w:szCs w:val="24"/>
        </w:rPr>
        <w:t>EqA</w:t>
      </w:r>
      <w:proofErr w:type="spellEnd"/>
      <w:r w:rsidR="005C1B41" w:rsidRPr="00380E0D">
        <w:rPr>
          <w:sz w:val="24"/>
          <w:szCs w:val="24"/>
        </w:rPr>
        <w:t xml:space="preserve">).  The </w:t>
      </w:r>
      <w:r w:rsidR="00DB37C7" w:rsidRPr="00380E0D">
        <w:rPr>
          <w:sz w:val="24"/>
          <w:szCs w:val="24"/>
        </w:rPr>
        <w:t xml:space="preserve">relevant </w:t>
      </w:r>
      <w:r w:rsidR="005C1B41" w:rsidRPr="00380E0D">
        <w:rPr>
          <w:sz w:val="24"/>
          <w:szCs w:val="24"/>
        </w:rPr>
        <w:t xml:space="preserve">context also includes the continuing application of the principles established by the </w:t>
      </w:r>
      <w:r w:rsidR="007507FC">
        <w:rPr>
          <w:sz w:val="24"/>
          <w:szCs w:val="24"/>
        </w:rPr>
        <w:t>CJEU</w:t>
      </w:r>
      <w:r w:rsidR="007507FC" w:rsidRPr="00380E0D">
        <w:rPr>
          <w:sz w:val="24"/>
          <w:szCs w:val="24"/>
        </w:rPr>
        <w:t xml:space="preserve"> </w:t>
      </w:r>
      <w:r w:rsidR="005C1B41" w:rsidRPr="00380E0D">
        <w:rPr>
          <w:sz w:val="24"/>
          <w:szCs w:val="24"/>
        </w:rPr>
        <w:t xml:space="preserve">in </w:t>
      </w:r>
      <w:r w:rsidR="005C1B41" w:rsidRPr="00380E0D">
        <w:rPr>
          <w:i/>
          <w:iCs/>
          <w:sz w:val="24"/>
          <w:szCs w:val="24"/>
          <w:u w:val="single"/>
        </w:rPr>
        <w:t>P v. S</w:t>
      </w:r>
      <w:r w:rsidR="00DB37C7" w:rsidRPr="00380E0D">
        <w:rPr>
          <w:sz w:val="24"/>
          <w:szCs w:val="24"/>
        </w:rPr>
        <w:t xml:space="preserve">, as applied by the </w:t>
      </w:r>
      <w:r w:rsidR="005C1B41" w:rsidRPr="00380E0D">
        <w:rPr>
          <w:sz w:val="24"/>
          <w:szCs w:val="24"/>
        </w:rPr>
        <w:t xml:space="preserve">House of Lords in </w:t>
      </w:r>
      <w:r w:rsidR="005C1B41" w:rsidRPr="00380E0D">
        <w:rPr>
          <w:i/>
          <w:iCs/>
          <w:sz w:val="24"/>
          <w:szCs w:val="24"/>
          <w:u w:val="single"/>
        </w:rPr>
        <w:t>A</w:t>
      </w:r>
      <w:r w:rsidR="005C1B41" w:rsidRPr="00380E0D">
        <w:rPr>
          <w:sz w:val="24"/>
          <w:szCs w:val="24"/>
        </w:rPr>
        <w:t xml:space="preserve">. </w:t>
      </w:r>
      <w:r w:rsidR="00A64D4E" w:rsidRPr="00380E0D">
        <w:rPr>
          <w:sz w:val="24"/>
          <w:szCs w:val="24"/>
        </w:rPr>
        <w:t>T</w:t>
      </w:r>
      <w:r w:rsidR="000A3AF6" w:rsidRPr="00380E0D">
        <w:rPr>
          <w:sz w:val="24"/>
          <w:szCs w:val="24"/>
        </w:rPr>
        <w:t>his context supports</w:t>
      </w:r>
      <w:r w:rsidR="005C1B41" w:rsidRPr="00380E0D">
        <w:rPr>
          <w:sz w:val="24"/>
          <w:szCs w:val="24"/>
        </w:rPr>
        <w:t xml:space="preserve"> the </w:t>
      </w:r>
      <w:r w:rsidR="00DB37C7" w:rsidRPr="00380E0D">
        <w:rPr>
          <w:sz w:val="24"/>
          <w:szCs w:val="24"/>
        </w:rPr>
        <w:t xml:space="preserve">view </w:t>
      </w:r>
      <w:r w:rsidR="005C1B41" w:rsidRPr="00380E0D">
        <w:rPr>
          <w:sz w:val="24"/>
          <w:szCs w:val="24"/>
        </w:rPr>
        <w:t xml:space="preserve">that </w:t>
      </w:r>
      <w:r w:rsidR="00C82134" w:rsidRPr="00380E0D">
        <w:rPr>
          <w:sz w:val="24"/>
          <w:szCs w:val="24"/>
        </w:rPr>
        <w:t xml:space="preserve">Parliament intended the </w:t>
      </w:r>
      <w:proofErr w:type="spellStart"/>
      <w:r w:rsidR="005C1B41" w:rsidRPr="00380E0D">
        <w:rPr>
          <w:sz w:val="24"/>
          <w:szCs w:val="24"/>
        </w:rPr>
        <w:t>EqA</w:t>
      </w:r>
      <w:proofErr w:type="spellEnd"/>
      <w:r w:rsidR="005C1B41" w:rsidRPr="00380E0D">
        <w:rPr>
          <w:sz w:val="24"/>
          <w:szCs w:val="24"/>
        </w:rPr>
        <w:t xml:space="preserve"> </w:t>
      </w:r>
      <w:r w:rsidR="001B38D2" w:rsidRPr="00380E0D">
        <w:rPr>
          <w:sz w:val="24"/>
          <w:szCs w:val="24"/>
        </w:rPr>
        <w:t>to continue to apply the</w:t>
      </w:r>
      <w:r w:rsidR="00DB37C7" w:rsidRPr="00380E0D">
        <w:rPr>
          <w:sz w:val="24"/>
          <w:szCs w:val="24"/>
        </w:rPr>
        <w:t xml:space="preserve"> SDA</w:t>
      </w:r>
      <w:r w:rsidR="001B38D2" w:rsidRPr="00380E0D">
        <w:rPr>
          <w:sz w:val="24"/>
          <w:szCs w:val="24"/>
        </w:rPr>
        <w:t xml:space="preserve"> principle </w:t>
      </w:r>
      <w:r w:rsidR="00C02B6E" w:rsidRPr="00380E0D">
        <w:rPr>
          <w:sz w:val="24"/>
          <w:szCs w:val="24"/>
        </w:rPr>
        <w:t xml:space="preserve">that an individual could </w:t>
      </w:r>
      <w:r w:rsidR="001A3152" w:rsidRPr="00380E0D">
        <w:rPr>
          <w:sz w:val="24"/>
          <w:szCs w:val="24"/>
        </w:rPr>
        <w:t>bring a claim for sex discrimination</w:t>
      </w:r>
      <w:r w:rsidR="00A64D4E" w:rsidRPr="00380E0D">
        <w:rPr>
          <w:sz w:val="24"/>
          <w:szCs w:val="24"/>
        </w:rPr>
        <w:t xml:space="preserve"> in their</w:t>
      </w:r>
      <w:r w:rsidR="000A3AF6" w:rsidRPr="00380E0D">
        <w:rPr>
          <w:sz w:val="24"/>
          <w:szCs w:val="24"/>
        </w:rPr>
        <w:t xml:space="preserve"> certified</w:t>
      </w:r>
      <w:r w:rsidR="001A3152" w:rsidRPr="00380E0D">
        <w:rPr>
          <w:sz w:val="24"/>
          <w:szCs w:val="24"/>
        </w:rPr>
        <w:t xml:space="preserve"> sex.  </w:t>
      </w:r>
      <w:r w:rsidR="00DB37C7" w:rsidRPr="00380E0D">
        <w:rPr>
          <w:sz w:val="24"/>
          <w:szCs w:val="24"/>
        </w:rPr>
        <w:t xml:space="preserve">If, notwithstanding that context, Parliament had intended in the </w:t>
      </w:r>
      <w:proofErr w:type="spellStart"/>
      <w:r w:rsidR="00DB37C7" w:rsidRPr="00380E0D">
        <w:rPr>
          <w:sz w:val="24"/>
          <w:szCs w:val="24"/>
        </w:rPr>
        <w:t>EqA</w:t>
      </w:r>
      <w:proofErr w:type="spellEnd"/>
      <w:r w:rsidR="00DB37C7" w:rsidRPr="00380E0D">
        <w:rPr>
          <w:sz w:val="24"/>
          <w:szCs w:val="24"/>
        </w:rPr>
        <w:t xml:space="preserve"> to reverse the position under the SDA, one might have expected to see some indication to that effect in the pre-legislative materials and clear words being used in the </w:t>
      </w:r>
      <w:proofErr w:type="spellStart"/>
      <w:r w:rsidR="00DB37C7" w:rsidRPr="00380E0D">
        <w:rPr>
          <w:sz w:val="24"/>
          <w:szCs w:val="24"/>
        </w:rPr>
        <w:t>EqA</w:t>
      </w:r>
      <w:proofErr w:type="spellEnd"/>
      <w:r w:rsidR="00DB37C7" w:rsidRPr="00380E0D">
        <w:rPr>
          <w:sz w:val="24"/>
          <w:szCs w:val="24"/>
        </w:rPr>
        <w:t xml:space="preserve"> itself.</w:t>
      </w:r>
    </w:p>
    <w:p w14:paraId="4B601AA7" w14:textId="77777777" w:rsidR="005D3947" w:rsidRPr="00380E0D" w:rsidRDefault="005D3947" w:rsidP="005D3947">
      <w:pPr>
        <w:pStyle w:val="ListParagraph"/>
        <w:rPr>
          <w:sz w:val="24"/>
          <w:szCs w:val="24"/>
        </w:rPr>
      </w:pPr>
    </w:p>
    <w:p w14:paraId="1F71C21B" w14:textId="5ADC2474" w:rsidR="00396ECA" w:rsidRPr="00380E0D" w:rsidRDefault="00074E3F" w:rsidP="00074E3F">
      <w:pPr>
        <w:pStyle w:val="Heading3"/>
        <w:rPr>
          <w:sz w:val="24"/>
          <w:szCs w:val="24"/>
        </w:rPr>
      </w:pPr>
      <w:r w:rsidRPr="00380E0D">
        <w:rPr>
          <w:sz w:val="24"/>
          <w:szCs w:val="24"/>
        </w:rPr>
        <w:t>(i</w:t>
      </w:r>
      <w:r w:rsidR="002760F1" w:rsidRPr="00380E0D">
        <w:rPr>
          <w:sz w:val="24"/>
          <w:szCs w:val="24"/>
        </w:rPr>
        <w:t>i</w:t>
      </w:r>
      <w:r w:rsidRPr="00380E0D">
        <w:rPr>
          <w:sz w:val="24"/>
          <w:szCs w:val="24"/>
        </w:rPr>
        <w:t xml:space="preserve">i) </w:t>
      </w:r>
      <w:r w:rsidR="00F3238D" w:rsidRPr="00380E0D">
        <w:rPr>
          <w:sz w:val="24"/>
          <w:szCs w:val="24"/>
        </w:rPr>
        <w:t xml:space="preserve">The </w:t>
      </w:r>
      <w:proofErr w:type="spellStart"/>
      <w:r w:rsidR="007A0B45" w:rsidRPr="00380E0D">
        <w:rPr>
          <w:sz w:val="24"/>
          <w:szCs w:val="24"/>
        </w:rPr>
        <w:t>EqA</w:t>
      </w:r>
      <w:proofErr w:type="spellEnd"/>
      <w:r w:rsidR="00F3238D" w:rsidRPr="00380E0D">
        <w:rPr>
          <w:sz w:val="24"/>
          <w:szCs w:val="24"/>
        </w:rPr>
        <w:t xml:space="preserve"> read as a whole</w:t>
      </w:r>
    </w:p>
    <w:p w14:paraId="09B4BDE0" w14:textId="067DB820" w:rsidR="009A0921" w:rsidRPr="00380E0D" w:rsidRDefault="00AF0A0C" w:rsidP="009A0921">
      <w:pPr>
        <w:pStyle w:val="ListParagraph"/>
        <w:numPr>
          <w:ilvl w:val="0"/>
          <w:numId w:val="1"/>
        </w:numPr>
        <w:spacing w:line="360" w:lineRule="auto"/>
        <w:jc w:val="both"/>
        <w:rPr>
          <w:sz w:val="24"/>
          <w:szCs w:val="24"/>
        </w:rPr>
      </w:pPr>
      <w:r w:rsidRPr="00380E0D">
        <w:rPr>
          <w:sz w:val="24"/>
          <w:szCs w:val="24"/>
        </w:rPr>
        <w:t xml:space="preserve">A reading of the </w:t>
      </w:r>
      <w:proofErr w:type="spellStart"/>
      <w:r w:rsidR="00416759" w:rsidRPr="00380E0D">
        <w:rPr>
          <w:sz w:val="24"/>
          <w:szCs w:val="24"/>
        </w:rPr>
        <w:t>EqA</w:t>
      </w:r>
      <w:proofErr w:type="spellEnd"/>
      <w:r w:rsidR="00416759" w:rsidRPr="00380E0D">
        <w:rPr>
          <w:sz w:val="24"/>
          <w:szCs w:val="24"/>
        </w:rPr>
        <w:t xml:space="preserve"> </w:t>
      </w:r>
      <w:proofErr w:type="gramStart"/>
      <w:r w:rsidR="00416759" w:rsidRPr="00380E0D">
        <w:rPr>
          <w:sz w:val="24"/>
          <w:szCs w:val="24"/>
        </w:rPr>
        <w:t>as a whole</w:t>
      </w:r>
      <w:r w:rsidR="001A3152" w:rsidRPr="00380E0D">
        <w:rPr>
          <w:sz w:val="24"/>
          <w:szCs w:val="24"/>
        </w:rPr>
        <w:t xml:space="preserve"> also</w:t>
      </w:r>
      <w:proofErr w:type="gramEnd"/>
      <w:r w:rsidR="001A3152" w:rsidRPr="00380E0D">
        <w:rPr>
          <w:sz w:val="24"/>
          <w:szCs w:val="24"/>
        </w:rPr>
        <w:t xml:space="preserve"> </w:t>
      </w:r>
      <w:r w:rsidR="007245E1" w:rsidRPr="00380E0D">
        <w:rPr>
          <w:sz w:val="24"/>
          <w:szCs w:val="24"/>
        </w:rPr>
        <w:t>supports</w:t>
      </w:r>
      <w:r w:rsidRPr="00380E0D">
        <w:rPr>
          <w:sz w:val="24"/>
          <w:szCs w:val="24"/>
        </w:rPr>
        <w:t xml:space="preserve"> </w:t>
      </w:r>
      <w:r w:rsidR="001A3152" w:rsidRPr="00380E0D">
        <w:rPr>
          <w:sz w:val="24"/>
          <w:szCs w:val="24"/>
        </w:rPr>
        <w:t xml:space="preserve">the conclusion that </w:t>
      </w:r>
      <w:r w:rsidRPr="00380E0D">
        <w:rPr>
          <w:sz w:val="24"/>
          <w:szCs w:val="24"/>
        </w:rPr>
        <w:t xml:space="preserve">the first definition is not correct.  </w:t>
      </w:r>
      <w:proofErr w:type="gramStart"/>
      <w:r w:rsidRPr="00380E0D">
        <w:rPr>
          <w:sz w:val="24"/>
          <w:szCs w:val="24"/>
        </w:rPr>
        <w:t xml:space="preserve">A </w:t>
      </w:r>
      <w:r w:rsidR="00D73CBE" w:rsidRPr="00380E0D">
        <w:rPr>
          <w:sz w:val="24"/>
          <w:szCs w:val="24"/>
        </w:rPr>
        <w:t>number of</w:t>
      </w:r>
      <w:proofErr w:type="gramEnd"/>
      <w:r w:rsidR="00D73CBE" w:rsidRPr="00380E0D">
        <w:rPr>
          <w:sz w:val="24"/>
          <w:szCs w:val="24"/>
        </w:rPr>
        <w:t xml:space="preserve"> provisions</w:t>
      </w:r>
      <w:r w:rsidRPr="00380E0D">
        <w:rPr>
          <w:sz w:val="24"/>
          <w:szCs w:val="24"/>
        </w:rPr>
        <w:t xml:space="preserve"> of the </w:t>
      </w:r>
      <w:proofErr w:type="spellStart"/>
      <w:r w:rsidRPr="00380E0D">
        <w:rPr>
          <w:sz w:val="24"/>
          <w:szCs w:val="24"/>
        </w:rPr>
        <w:t>EqA</w:t>
      </w:r>
      <w:proofErr w:type="spellEnd"/>
      <w:r w:rsidR="00D73CBE" w:rsidRPr="00380E0D">
        <w:rPr>
          <w:sz w:val="24"/>
          <w:szCs w:val="24"/>
        </w:rPr>
        <w:t xml:space="preserve"> would be</w:t>
      </w:r>
      <w:r w:rsidR="007245E1" w:rsidRPr="00380E0D">
        <w:rPr>
          <w:sz w:val="24"/>
          <w:szCs w:val="24"/>
        </w:rPr>
        <w:t xml:space="preserve"> in part or in whole unnecessary </w:t>
      </w:r>
      <w:r w:rsidR="00D73CBE" w:rsidRPr="00380E0D">
        <w:rPr>
          <w:sz w:val="24"/>
          <w:szCs w:val="24"/>
        </w:rPr>
        <w:t xml:space="preserve">if the first definition </w:t>
      </w:r>
      <w:r w:rsidRPr="00380E0D">
        <w:rPr>
          <w:sz w:val="24"/>
          <w:szCs w:val="24"/>
        </w:rPr>
        <w:t>were</w:t>
      </w:r>
      <w:r w:rsidR="007245E1" w:rsidRPr="00380E0D">
        <w:rPr>
          <w:sz w:val="24"/>
          <w:szCs w:val="24"/>
        </w:rPr>
        <w:t xml:space="preserve"> correct</w:t>
      </w:r>
      <w:r w:rsidR="009A0921" w:rsidRPr="00380E0D">
        <w:rPr>
          <w:sz w:val="24"/>
          <w:szCs w:val="24"/>
        </w:rPr>
        <w:t xml:space="preserve">: </w:t>
      </w:r>
      <w:r w:rsidRPr="00380E0D">
        <w:rPr>
          <w:sz w:val="24"/>
          <w:szCs w:val="24"/>
        </w:rPr>
        <w:t xml:space="preserve"> </w:t>
      </w:r>
    </w:p>
    <w:p w14:paraId="558762FC" w14:textId="77777777" w:rsidR="009A0921" w:rsidRPr="00380E0D" w:rsidRDefault="009A0921" w:rsidP="009A0921">
      <w:pPr>
        <w:pStyle w:val="ListParagraph"/>
        <w:rPr>
          <w:sz w:val="24"/>
          <w:szCs w:val="24"/>
        </w:rPr>
      </w:pPr>
    </w:p>
    <w:p w14:paraId="417E1359" w14:textId="1823AF62" w:rsidR="007245E1" w:rsidRPr="00380E0D" w:rsidRDefault="007245E1" w:rsidP="00BB0417">
      <w:pPr>
        <w:numPr>
          <w:ilvl w:val="1"/>
          <w:numId w:val="1"/>
        </w:numPr>
        <w:spacing w:line="360" w:lineRule="auto"/>
        <w:jc w:val="both"/>
        <w:rPr>
          <w:sz w:val="24"/>
          <w:szCs w:val="24"/>
        </w:rPr>
      </w:pPr>
      <w:r w:rsidRPr="00380E0D">
        <w:rPr>
          <w:sz w:val="24"/>
          <w:szCs w:val="24"/>
        </w:rPr>
        <w:t xml:space="preserve">In relation to sport under s.195 </w:t>
      </w:r>
      <w:proofErr w:type="spellStart"/>
      <w:r w:rsidRPr="00380E0D">
        <w:rPr>
          <w:sz w:val="24"/>
          <w:szCs w:val="24"/>
        </w:rPr>
        <w:t>EqA</w:t>
      </w:r>
      <w:proofErr w:type="spellEnd"/>
      <w:r w:rsidRPr="00380E0D">
        <w:rPr>
          <w:sz w:val="24"/>
          <w:szCs w:val="24"/>
        </w:rPr>
        <w:t>, if “</w:t>
      </w:r>
      <w:r w:rsidRPr="00380E0D">
        <w:rPr>
          <w:i/>
          <w:iCs/>
          <w:sz w:val="24"/>
          <w:szCs w:val="24"/>
        </w:rPr>
        <w:t>sex</w:t>
      </w:r>
      <w:r w:rsidRPr="00380E0D">
        <w:rPr>
          <w:sz w:val="24"/>
          <w:szCs w:val="24"/>
        </w:rPr>
        <w:t xml:space="preserve">” had the first definition within the </w:t>
      </w:r>
      <w:proofErr w:type="spellStart"/>
      <w:r w:rsidRPr="00380E0D">
        <w:rPr>
          <w:sz w:val="24"/>
          <w:szCs w:val="24"/>
        </w:rPr>
        <w:t>EqA</w:t>
      </w:r>
      <w:proofErr w:type="spellEnd"/>
      <w:r w:rsidRPr="00380E0D">
        <w:rPr>
          <w:sz w:val="24"/>
          <w:szCs w:val="24"/>
        </w:rPr>
        <w:t xml:space="preserve">, it would only be necessary in relation to single sex sports to exclude claims for </w:t>
      </w:r>
      <w:r w:rsidRPr="00380E0D">
        <w:rPr>
          <w:b/>
          <w:bCs/>
          <w:i/>
          <w:iCs/>
          <w:sz w:val="24"/>
          <w:szCs w:val="24"/>
        </w:rPr>
        <w:t>indirect</w:t>
      </w:r>
      <w:r w:rsidRPr="00380E0D">
        <w:rPr>
          <w:sz w:val="24"/>
          <w:szCs w:val="24"/>
        </w:rPr>
        <w:t xml:space="preserve"> gender reassignment discrimination, rather than both </w:t>
      </w:r>
      <w:r w:rsidRPr="00380E0D">
        <w:rPr>
          <w:b/>
          <w:bCs/>
          <w:i/>
          <w:iCs/>
          <w:sz w:val="24"/>
          <w:szCs w:val="24"/>
        </w:rPr>
        <w:t>direct</w:t>
      </w:r>
      <w:r w:rsidRPr="00380E0D">
        <w:rPr>
          <w:sz w:val="24"/>
          <w:szCs w:val="24"/>
        </w:rPr>
        <w:t xml:space="preserve"> and </w:t>
      </w:r>
      <w:r w:rsidRPr="00380E0D">
        <w:rPr>
          <w:b/>
          <w:bCs/>
          <w:i/>
          <w:iCs/>
          <w:sz w:val="24"/>
          <w:szCs w:val="24"/>
        </w:rPr>
        <w:t>indirect</w:t>
      </w:r>
      <w:r w:rsidRPr="00380E0D">
        <w:rPr>
          <w:sz w:val="24"/>
          <w:szCs w:val="24"/>
        </w:rPr>
        <w:t xml:space="preserve"> as per s.195(2)</w:t>
      </w:r>
      <w:r w:rsidR="00822475" w:rsidRPr="00380E0D">
        <w:rPr>
          <w:sz w:val="24"/>
          <w:szCs w:val="24"/>
        </w:rPr>
        <w:t>.</w:t>
      </w:r>
      <w:r w:rsidRPr="00380E0D">
        <w:rPr>
          <w:sz w:val="24"/>
          <w:szCs w:val="24"/>
        </w:rPr>
        <w:t xml:space="preserve"> Section 195(1) creates a complete exemption in relation to a claim for sex discrimination for single sex sports</w:t>
      </w:r>
      <w:r w:rsidR="00822475" w:rsidRPr="00380E0D">
        <w:rPr>
          <w:sz w:val="24"/>
          <w:szCs w:val="24"/>
        </w:rPr>
        <w:t xml:space="preserve"> which is essential on both the first and second definitions.  Section </w:t>
      </w:r>
      <w:r w:rsidRPr="00380E0D">
        <w:rPr>
          <w:sz w:val="24"/>
          <w:szCs w:val="24"/>
        </w:rPr>
        <w:t>195(2) creates a partial exemption in relation to a claim for “</w:t>
      </w:r>
      <w:r w:rsidRPr="00380E0D">
        <w:rPr>
          <w:i/>
          <w:iCs/>
          <w:sz w:val="24"/>
          <w:szCs w:val="24"/>
        </w:rPr>
        <w:t>gender reassignment discrimination</w:t>
      </w:r>
      <w:r w:rsidRPr="00380E0D">
        <w:rPr>
          <w:sz w:val="24"/>
          <w:szCs w:val="24"/>
        </w:rPr>
        <w:t>” (as defined in s.25(3) as including direct (s.13) and indirect discrimination (s.19)), for the participation of a transsexual person as a “</w:t>
      </w:r>
      <w:r w:rsidRPr="00380E0D">
        <w:rPr>
          <w:i/>
          <w:iCs/>
          <w:sz w:val="24"/>
          <w:szCs w:val="24"/>
        </w:rPr>
        <w:t>competitor</w:t>
      </w:r>
      <w:r w:rsidRPr="00380E0D">
        <w:rPr>
          <w:sz w:val="24"/>
          <w:szCs w:val="24"/>
        </w:rPr>
        <w:t>” in a “</w:t>
      </w:r>
      <w:r w:rsidRPr="00380E0D">
        <w:rPr>
          <w:i/>
          <w:iCs/>
          <w:sz w:val="24"/>
          <w:szCs w:val="24"/>
        </w:rPr>
        <w:t>gender affected activity</w:t>
      </w:r>
      <w:r w:rsidRPr="00380E0D">
        <w:rPr>
          <w:sz w:val="24"/>
          <w:szCs w:val="24"/>
        </w:rPr>
        <w:t>”.   If “</w:t>
      </w:r>
      <w:r w:rsidRPr="00380E0D">
        <w:rPr>
          <w:i/>
          <w:iCs/>
          <w:sz w:val="24"/>
          <w:szCs w:val="24"/>
        </w:rPr>
        <w:t>sex</w:t>
      </w:r>
      <w:r w:rsidRPr="00380E0D">
        <w:rPr>
          <w:sz w:val="24"/>
          <w:szCs w:val="24"/>
        </w:rPr>
        <w:t>” refers only to natal sex, it would not be necessary to include s.195(2) in relation to a claim for direct discrimination</w:t>
      </w:r>
      <w:r w:rsidR="001951FD" w:rsidRPr="00380E0D">
        <w:rPr>
          <w:sz w:val="24"/>
          <w:szCs w:val="24"/>
        </w:rPr>
        <w:t xml:space="preserve"> on grounds of gender reassignment because a male to female transsexual will continue to be regarded as </w:t>
      </w:r>
      <w:r w:rsidR="00E0699B" w:rsidRPr="00380E0D">
        <w:rPr>
          <w:sz w:val="24"/>
          <w:szCs w:val="24"/>
        </w:rPr>
        <w:t>male and</w:t>
      </w:r>
      <w:r w:rsidR="001951FD" w:rsidRPr="00380E0D">
        <w:rPr>
          <w:sz w:val="24"/>
          <w:szCs w:val="24"/>
        </w:rPr>
        <w:t xml:space="preserve"> may lawfully be </w:t>
      </w:r>
      <w:r w:rsidR="001951FD" w:rsidRPr="00380E0D">
        <w:rPr>
          <w:sz w:val="24"/>
          <w:szCs w:val="24"/>
        </w:rPr>
        <w:lastRenderedPageBreak/>
        <w:t>excluded from women’s sport pursuant to s. 195(1) and without it being necessary to rely upon their gender reassignment in order to exclude them.  It may be necessary to exclude a female competitor from female sport where that competitor has the protected characteristic of gender reassignment</w:t>
      </w:r>
      <w:r w:rsidR="00EC4187">
        <w:rPr>
          <w:sz w:val="24"/>
          <w:szCs w:val="24"/>
        </w:rPr>
        <w:t>,</w:t>
      </w:r>
      <w:r w:rsidR="001951FD" w:rsidRPr="00380E0D">
        <w:rPr>
          <w:sz w:val="24"/>
          <w:szCs w:val="24"/>
        </w:rPr>
        <w:t xml:space="preserve"> but this would not merely be on account of gender reassignment but rather because they had physiological characteristics (for example, high testosterone levels) which prejudiced fairness or safety reasons.  The claim of that competitor could only be for indirect discrimination on grounds of gender reassignment.</w:t>
      </w:r>
    </w:p>
    <w:p w14:paraId="1CB9129A" w14:textId="77777777" w:rsidR="007245E1" w:rsidRPr="00380E0D" w:rsidRDefault="007245E1" w:rsidP="007245E1">
      <w:pPr>
        <w:spacing w:line="360" w:lineRule="auto"/>
        <w:jc w:val="both"/>
        <w:rPr>
          <w:sz w:val="24"/>
          <w:szCs w:val="24"/>
        </w:rPr>
      </w:pPr>
    </w:p>
    <w:p w14:paraId="030B6C8D" w14:textId="3411B626" w:rsidR="007245E1" w:rsidRPr="00380E0D" w:rsidRDefault="0007394C" w:rsidP="00332D6E">
      <w:pPr>
        <w:numPr>
          <w:ilvl w:val="1"/>
          <w:numId w:val="1"/>
        </w:numPr>
        <w:spacing w:line="360" w:lineRule="auto"/>
        <w:jc w:val="both"/>
        <w:rPr>
          <w:sz w:val="24"/>
          <w:szCs w:val="24"/>
        </w:rPr>
      </w:pPr>
      <w:r w:rsidRPr="00380E0D">
        <w:rPr>
          <w:sz w:val="24"/>
          <w:szCs w:val="24"/>
        </w:rPr>
        <w:t xml:space="preserve">Similarly, </w:t>
      </w:r>
      <w:r w:rsidR="007245E1" w:rsidRPr="00380E0D">
        <w:rPr>
          <w:sz w:val="24"/>
          <w:szCs w:val="24"/>
        </w:rPr>
        <w:t xml:space="preserve">§28 of Sch. 1 </w:t>
      </w:r>
      <w:proofErr w:type="spellStart"/>
      <w:r w:rsidR="007245E1" w:rsidRPr="00380E0D">
        <w:rPr>
          <w:sz w:val="24"/>
          <w:szCs w:val="24"/>
        </w:rPr>
        <w:t>EqA</w:t>
      </w:r>
      <w:proofErr w:type="spellEnd"/>
      <w:r w:rsidR="007245E1" w:rsidRPr="00380E0D">
        <w:rPr>
          <w:sz w:val="24"/>
          <w:szCs w:val="24"/>
        </w:rPr>
        <w:t xml:space="preserve"> creates an exception in relation to gender reassignment discrimination for the provision of separate services for each sex or the provision of services to only one sex.  </w:t>
      </w:r>
      <w:r w:rsidRPr="00380E0D">
        <w:rPr>
          <w:sz w:val="24"/>
          <w:szCs w:val="24"/>
        </w:rPr>
        <w:t>On the first definition, t</w:t>
      </w:r>
      <w:r w:rsidR="007245E1" w:rsidRPr="00380E0D">
        <w:rPr>
          <w:sz w:val="24"/>
          <w:szCs w:val="24"/>
        </w:rPr>
        <w:t>his provision would be redundant in relation to a claim for direct discrimination</w:t>
      </w:r>
      <w:r w:rsidRPr="00380E0D">
        <w:rPr>
          <w:sz w:val="24"/>
          <w:szCs w:val="24"/>
        </w:rPr>
        <w:t xml:space="preserve"> on grounds of gender reassignment.  In the case of female-only services, the excluded individual (in a case of male to female gender reassignment) would have been excluded on grounds of their sex and not on account of gender reassignment; and in the case of female to male gender reassignment would have been excluded on account of their physiological characteristics and not merely on account of gender reassignment (</w:t>
      </w:r>
      <w:r w:rsidR="007245E1" w:rsidRPr="00380E0D">
        <w:rPr>
          <w:sz w:val="24"/>
          <w:szCs w:val="24"/>
        </w:rPr>
        <w:t>a claim for indirect discrimination)</w:t>
      </w:r>
      <w:r w:rsidRPr="00380E0D">
        <w:rPr>
          <w:sz w:val="24"/>
          <w:szCs w:val="24"/>
        </w:rPr>
        <w:t xml:space="preserve">. </w:t>
      </w:r>
      <w:r w:rsidR="007245E1" w:rsidRPr="00380E0D">
        <w:rPr>
          <w:sz w:val="24"/>
          <w:szCs w:val="24"/>
        </w:rPr>
        <w:t xml:space="preserve">§3 of </w:t>
      </w:r>
      <w:r w:rsidRPr="00380E0D">
        <w:rPr>
          <w:sz w:val="24"/>
          <w:szCs w:val="24"/>
        </w:rPr>
        <w:t>S</w:t>
      </w:r>
      <w:r w:rsidR="007245E1" w:rsidRPr="00380E0D">
        <w:rPr>
          <w:sz w:val="24"/>
          <w:szCs w:val="24"/>
        </w:rPr>
        <w:t>ch</w:t>
      </w:r>
      <w:r w:rsidRPr="00380E0D">
        <w:rPr>
          <w:sz w:val="24"/>
          <w:szCs w:val="24"/>
        </w:rPr>
        <w:t>.</w:t>
      </w:r>
      <w:r w:rsidR="007245E1" w:rsidRPr="00380E0D">
        <w:rPr>
          <w:sz w:val="24"/>
          <w:szCs w:val="24"/>
        </w:rPr>
        <w:t xml:space="preserve"> 23 creates an exception in relation to “</w:t>
      </w:r>
      <w:r w:rsidR="007245E1" w:rsidRPr="00380E0D">
        <w:rPr>
          <w:i/>
          <w:iCs/>
          <w:sz w:val="24"/>
          <w:szCs w:val="24"/>
        </w:rPr>
        <w:t>communal accommodation</w:t>
      </w:r>
      <w:r w:rsidR="007245E1" w:rsidRPr="00380E0D">
        <w:rPr>
          <w:sz w:val="24"/>
          <w:szCs w:val="24"/>
        </w:rPr>
        <w:t>”</w:t>
      </w:r>
      <w:r w:rsidRPr="00380E0D">
        <w:rPr>
          <w:sz w:val="24"/>
          <w:szCs w:val="24"/>
        </w:rPr>
        <w:t>, the purpose of which (see Explanatory Note §997)</w:t>
      </w:r>
      <w:r w:rsidR="007245E1" w:rsidRPr="00380E0D">
        <w:rPr>
          <w:sz w:val="24"/>
          <w:szCs w:val="24"/>
        </w:rPr>
        <w:t xml:space="preserve"> is to allow communal accommodation to be restricted to only one sex</w:t>
      </w:r>
      <w:r w:rsidRPr="00380E0D">
        <w:rPr>
          <w:sz w:val="24"/>
          <w:szCs w:val="24"/>
        </w:rPr>
        <w:t xml:space="preserve">.  Again, the </w:t>
      </w:r>
      <w:r w:rsidR="007245E1" w:rsidRPr="00380E0D">
        <w:rPr>
          <w:sz w:val="24"/>
          <w:szCs w:val="24"/>
        </w:rPr>
        <w:t xml:space="preserve">exception in relation to </w:t>
      </w:r>
      <w:r w:rsidR="007245E1" w:rsidRPr="00380E0D">
        <w:rPr>
          <w:b/>
          <w:bCs/>
          <w:i/>
          <w:iCs/>
          <w:sz w:val="24"/>
          <w:szCs w:val="24"/>
        </w:rPr>
        <w:t>direct</w:t>
      </w:r>
      <w:r w:rsidR="007245E1" w:rsidRPr="00380E0D">
        <w:rPr>
          <w:sz w:val="24"/>
          <w:szCs w:val="24"/>
        </w:rPr>
        <w:t xml:space="preserve"> gender reassignment discrimination would be </w:t>
      </w:r>
      <w:r w:rsidRPr="00380E0D">
        <w:rPr>
          <w:sz w:val="24"/>
          <w:szCs w:val="24"/>
        </w:rPr>
        <w:t>unnecessary</w:t>
      </w:r>
      <w:r w:rsidR="007245E1" w:rsidRPr="00380E0D">
        <w:rPr>
          <w:sz w:val="24"/>
          <w:szCs w:val="24"/>
        </w:rPr>
        <w:t xml:space="preserve">.   </w:t>
      </w:r>
    </w:p>
    <w:p w14:paraId="684FFF17" w14:textId="77777777" w:rsidR="007245E1" w:rsidRPr="00380E0D" w:rsidRDefault="007245E1" w:rsidP="007245E1">
      <w:pPr>
        <w:spacing w:line="360" w:lineRule="auto"/>
        <w:jc w:val="both"/>
        <w:rPr>
          <w:sz w:val="24"/>
          <w:szCs w:val="24"/>
        </w:rPr>
      </w:pPr>
    </w:p>
    <w:p w14:paraId="5FF9F317" w14:textId="70039989" w:rsidR="007245E1" w:rsidRPr="00380E0D" w:rsidRDefault="007245E1" w:rsidP="007245E1">
      <w:pPr>
        <w:numPr>
          <w:ilvl w:val="1"/>
          <w:numId w:val="1"/>
        </w:numPr>
        <w:spacing w:line="360" w:lineRule="auto"/>
        <w:jc w:val="both"/>
        <w:rPr>
          <w:sz w:val="24"/>
          <w:szCs w:val="24"/>
        </w:rPr>
      </w:pPr>
      <w:r w:rsidRPr="00380E0D">
        <w:rPr>
          <w:sz w:val="24"/>
          <w:szCs w:val="24"/>
        </w:rPr>
        <w:t xml:space="preserve">§18 of Sch. 9 </w:t>
      </w:r>
      <w:proofErr w:type="spellStart"/>
      <w:r w:rsidRPr="00380E0D">
        <w:rPr>
          <w:sz w:val="24"/>
          <w:szCs w:val="24"/>
        </w:rPr>
        <w:t>EqA</w:t>
      </w:r>
      <w:proofErr w:type="spellEnd"/>
      <w:r w:rsidRPr="00380E0D">
        <w:rPr>
          <w:sz w:val="24"/>
          <w:szCs w:val="24"/>
        </w:rPr>
        <w:t xml:space="preserve"> concerns benefits dependent on marital status.  Sub- paragraphs 1A and 1B were introduced by </w:t>
      </w:r>
      <w:r w:rsidR="00456AA5" w:rsidRPr="00380E0D">
        <w:rPr>
          <w:sz w:val="24"/>
          <w:szCs w:val="24"/>
        </w:rPr>
        <w:t xml:space="preserve">the </w:t>
      </w:r>
      <w:r w:rsidRPr="00380E0D">
        <w:rPr>
          <w:sz w:val="24"/>
          <w:szCs w:val="24"/>
        </w:rPr>
        <w:t>Marriage (Same Sex Couples) Act 2013</w:t>
      </w:r>
      <w:r w:rsidRPr="00380E0D">
        <w:rPr>
          <w:sz w:val="24"/>
          <w:szCs w:val="24"/>
          <w:vertAlign w:val="superscript"/>
        </w:rPr>
        <w:footnoteReference w:id="13"/>
      </w:r>
      <w:r w:rsidRPr="00380E0D">
        <w:rPr>
          <w:sz w:val="24"/>
          <w:szCs w:val="24"/>
        </w:rPr>
        <w:t xml:space="preserve"> </w:t>
      </w:r>
      <w:r w:rsidR="00456AA5" w:rsidRPr="00380E0D">
        <w:rPr>
          <w:sz w:val="24"/>
          <w:szCs w:val="24"/>
        </w:rPr>
        <w:t>(</w:t>
      </w:r>
      <w:r w:rsidRPr="00380E0D">
        <w:rPr>
          <w:sz w:val="24"/>
          <w:szCs w:val="24"/>
        </w:rPr>
        <w:t>§17(3) of Sch. 4(6)</w:t>
      </w:r>
      <w:r w:rsidR="00456AA5" w:rsidRPr="00380E0D">
        <w:rPr>
          <w:sz w:val="24"/>
          <w:szCs w:val="24"/>
        </w:rPr>
        <w:t>)</w:t>
      </w:r>
      <w:r w:rsidRPr="00380E0D">
        <w:rPr>
          <w:sz w:val="24"/>
          <w:szCs w:val="24"/>
        </w:rPr>
        <w:t xml:space="preserve">. </w:t>
      </w:r>
      <w:r w:rsidR="00116A7E" w:rsidRPr="00380E0D">
        <w:rPr>
          <w:sz w:val="24"/>
          <w:szCs w:val="24"/>
        </w:rPr>
        <w:t>§</w:t>
      </w:r>
      <w:r w:rsidRPr="00380E0D">
        <w:rPr>
          <w:sz w:val="24"/>
          <w:szCs w:val="24"/>
        </w:rPr>
        <w:t xml:space="preserve">18 of Sch. 9 to the </w:t>
      </w:r>
      <w:proofErr w:type="spellStart"/>
      <w:r w:rsidRPr="00380E0D">
        <w:rPr>
          <w:sz w:val="24"/>
          <w:szCs w:val="24"/>
        </w:rPr>
        <w:t>EqA</w:t>
      </w:r>
      <w:proofErr w:type="spellEnd"/>
      <w:r w:rsidRPr="00380E0D">
        <w:rPr>
          <w:sz w:val="24"/>
          <w:szCs w:val="24"/>
        </w:rPr>
        <w:t xml:space="preserve"> provides that it is not discrimination because of sexual orientation to restrict access to a benefit, facility or service that would be available to a person who was married to someone who is in a civil partnership, in relation to rights accrued before 5 December 2005 (the date the Civil Partnership Act came into force). The amendment removed the word “</w:t>
      </w:r>
      <w:r w:rsidRPr="00380E0D">
        <w:rPr>
          <w:i/>
          <w:iCs/>
          <w:sz w:val="24"/>
          <w:szCs w:val="24"/>
        </w:rPr>
        <w:t>married</w:t>
      </w:r>
      <w:r w:rsidRPr="00380E0D">
        <w:rPr>
          <w:sz w:val="24"/>
          <w:szCs w:val="24"/>
        </w:rPr>
        <w:t xml:space="preserve">” from sub-paragraph (1) and inserted a new </w:t>
      </w:r>
      <w:r w:rsidRPr="00380E0D">
        <w:rPr>
          <w:sz w:val="24"/>
          <w:szCs w:val="24"/>
        </w:rPr>
        <w:lastRenderedPageBreak/>
        <w:t>sub-paragraph (1A) into §18 of Sch</w:t>
      </w:r>
      <w:r w:rsidR="00456AA5" w:rsidRPr="00380E0D">
        <w:rPr>
          <w:sz w:val="24"/>
          <w:szCs w:val="24"/>
        </w:rPr>
        <w:t>.</w:t>
      </w:r>
      <w:r w:rsidRPr="00380E0D">
        <w:rPr>
          <w:sz w:val="24"/>
          <w:szCs w:val="24"/>
        </w:rPr>
        <w:t xml:space="preserve"> 9 to the </w:t>
      </w:r>
      <w:proofErr w:type="spellStart"/>
      <w:r w:rsidRPr="00380E0D">
        <w:rPr>
          <w:sz w:val="24"/>
          <w:szCs w:val="24"/>
        </w:rPr>
        <w:t>EqA</w:t>
      </w:r>
      <w:proofErr w:type="spellEnd"/>
      <w:r w:rsidRPr="00380E0D">
        <w:rPr>
          <w:sz w:val="24"/>
          <w:szCs w:val="24"/>
        </w:rPr>
        <w:t>. This extends the exception so that it also applies to same sex couples in the same way as to civil partners. Sub-paragraph</w:t>
      </w:r>
      <w:r w:rsidR="00456AA5" w:rsidRPr="00380E0D">
        <w:rPr>
          <w:sz w:val="24"/>
          <w:szCs w:val="24"/>
        </w:rPr>
        <w:t>s</w:t>
      </w:r>
      <w:r w:rsidRPr="00380E0D">
        <w:rPr>
          <w:sz w:val="24"/>
          <w:szCs w:val="24"/>
        </w:rPr>
        <w:t xml:space="preserve"> (1</w:t>
      </w:r>
      <w:proofErr w:type="gramStart"/>
      <w:r w:rsidRPr="00380E0D">
        <w:rPr>
          <w:sz w:val="24"/>
          <w:szCs w:val="24"/>
        </w:rPr>
        <w:t>A)(</w:t>
      </w:r>
      <w:proofErr w:type="gramEnd"/>
      <w:r w:rsidRPr="00380E0D">
        <w:rPr>
          <w:sz w:val="24"/>
          <w:szCs w:val="24"/>
        </w:rPr>
        <w:t>c) and (1B) provide that this exception does not apply to people who were in a marriage with a person of the opposite sex, but who are now in a marriage of a same sex couple as a result of one spouse obtaining a GRC. This provision would</w:t>
      </w:r>
      <w:r w:rsidR="00456AA5" w:rsidRPr="00380E0D">
        <w:rPr>
          <w:sz w:val="24"/>
          <w:szCs w:val="24"/>
        </w:rPr>
        <w:t xml:space="preserve"> be entirely unnecessary </w:t>
      </w:r>
      <w:r w:rsidRPr="00380E0D">
        <w:rPr>
          <w:sz w:val="24"/>
          <w:szCs w:val="24"/>
        </w:rPr>
        <w:t>if “</w:t>
      </w:r>
      <w:r w:rsidRPr="00380E0D">
        <w:rPr>
          <w:i/>
          <w:iCs/>
          <w:sz w:val="24"/>
          <w:szCs w:val="24"/>
        </w:rPr>
        <w:t>sex</w:t>
      </w:r>
      <w:r w:rsidRPr="00380E0D">
        <w:rPr>
          <w:sz w:val="24"/>
          <w:szCs w:val="24"/>
        </w:rPr>
        <w:t xml:space="preserve">” in the </w:t>
      </w:r>
      <w:proofErr w:type="spellStart"/>
      <w:r w:rsidRPr="00380E0D">
        <w:rPr>
          <w:sz w:val="24"/>
          <w:szCs w:val="24"/>
        </w:rPr>
        <w:t>EqA</w:t>
      </w:r>
      <w:proofErr w:type="spellEnd"/>
      <w:r w:rsidRPr="00380E0D">
        <w:rPr>
          <w:sz w:val="24"/>
          <w:szCs w:val="24"/>
        </w:rPr>
        <w:t>, only meant natal sex, as they would not in fact be married to a “</w:t>
      </w:r>
      <w:r w:rsidRPr="00380E0D">
        <w:rPr>
          <w:i/>
          <w:iCs/>
          <w:sz w:val="24"/>
          <w:szCs w:val="24"/>
        </w:rPr>
        <w:t>person of the same sex in a relevant gender change case</w:t>
      </w:r>
      <w:r w:rsidRPr="00380E0D">
        <w:rPr>
          <w:sz w:val="24"/>
          <w:szCs w:val="24"/>
        </w:rPr>
        <w:t xml:space="preserve">”, they would still be married to a person of the opposite sex.   </w:t>
      </w:r>
    </w:p>
    <w:p w14:paraId="7E1A4F2E" w14:textId="77777777" w:rsidR="006556E8" w:rsidRPr="00380E0D" w:rsidRDefault="006556E8" w:rsidP="006556E8">
      <w:pPr>
        <w:spacing w:line="360" w:lineRule="auto"/>
        <w:ind w:left="851"/>
        <w:jc w:val="both"/>
        <w:rPr>
          <w:sz w:val="24"/>
          <w:szCs w:val="24"/>
        </w:rPr>
      </w:pPr>
    </w:p>
    <w:p w14:paraId="4A4C4004" w14:textId="552605F8" w:rsidR="004F0160" w:rsidRPr="00FB40E9" w:rsidRDefault="00074E3F" w:rsidP="00FB40E9">
      <w:pPr>
        <w:pStyle w:val="Heading2"/>
        <w:rPr>
          <w:sz w:val="24"/>
          <w:szCs w:val="24"/>
        </w:rPr>
      </w:pPr>
      <w:r w:rsidRPr="00380E0D">
        <w:rPr>
          <w:sz w:val="24"/>
          <w:szCs w:val="24"/>
        </w:rPr>
        <w:t xml:space="preserve">(3)    </w:t>
      </w:r>
      <w:r w:rsidR="00D4187B" w:rsidRPr="00380E0D">
        <w:rPr>
          <w:sz w:val="24"/>
          <w:szCs w:val="24"/>
        </w:rPr>
        <w:t xml:space="preserve">Particular challenges </w:t>
      </w:r>
      <w:r w:rsidR="00AF0A0C" w:rsidRPr="00380E0D">
        <w:rPr>
          <w:sz w:val="24"/>
          <w:szCs w:val="24"/>
        </w:rPr>
        <w:t xml:space="preserve">created by </w:t>
      </w:r>
      <w:r w:rsidR="00D4187B" w:rsidRPr="00380E0D">
        <w:rPr>
          <w:sz w:val="24"/>
          <w:szCs w:val="24"/>
        </w:rPr>
        <w:t xml:space="preserve">the second definition </w:t>
      </w:r>
    </w:p>
    <w:p w14:paraId="2199022D" w14:textId="0ED8FDB5" w:rsidR="00A6097C" w:rsidRPr="00380E0D" w:rsidRDefault="00A6097C" w:rsidP="00AD0435">
      <w:pPr>
        <w:pStyle w:val="ListParagraph"/>
        <w:numPr>
          <w:ilvl w:val="0"/>
          <w:numId w:val="1"/>
        </w:numPr>
        <w:spacing w:line="360" w:lineRule="auto"/>
        <w:jc w:val="both"/>
        <w:rPr>
          <w:sz w:val="24"/>
          <w:szCs w:val="24"/>
        </w:rPr>
      </w:pPr>
      <w:bookmarkStart w:id="5" w:name="_Ref179832419"/>
      <w:r w:rsidRPr="00380E0D">
        <w:rPr>
          <w:sz w:val="24"/>
          <w:szCs w:val="24"/>
        </w:rPr>
        <w:t xml:space="preserve">These submissions now focus on </w:t>
      </w:r>
      <w:r w:rsidR="00F076A8" w:rsidRPr="00380E0D">
        <w:rPr>
          <w:sz w:val="24"/>
          <w:szCs w:val="24"/>
        </w:rPr>
        <w:t xml:space="preserve">four </w:t>
      </w:r>
      <w:r w:rsidR="001A3152" w:rsidRPr="00380E0D">
        <w:rPr>
          <w:sz w:val="24"/>
          <w:szCs w:val="24"/>
        </w:rPr>
        <w:t>of the</w:t>
      </w:r>
      <w:r w:rsidR="00655950" w:rsidRPr="00380E0D">
        <w:rPr>
          <w:sz w:val="24"/>
          <w:szCs w:val="24"/>
        </w:rPr>
        <w:t xml:space="preserve"> difficulties and inconsistencies in the operation of the </w:t>
      </w:r>
      <w:proofErr w:type="spellStart"/>
      <w:r w:rsidR="00655950" w:rsidRPr="00380E0D">
        <w:rPr>
          <w:sz w:val="24"/>
          <w:szCs w:val="24"/>
        </w:rPr>
        <w:t>EqA</w:t>
      </w:r>
      <w:proofErr w:type="spellEnd"/>
      <w:r w:rsidR="00655950" w:rsidRPr="00380E0D">
        <w:rPr>
          <w:sz w:val="24"/>
          <w:szCs w:val="24"/>
        </w:rPr>
        <w:t xml:space="preserve"> caused by the</w:t>
      </w:r>
      <w:r w:rsidR="003C5A88" w:rsidRPr="00380E0D">
        <w:rPr>
          <w:sz w:val="24"/>
          <w:szCs w:val="24"/>
        </w:rPr>
        <w:t xml:space="preserve"> second definition</w:t>
      </w:r>
      <w:r w:rsidR="001A3152" w:rsidRPr="00380E0D">
        <w:rPr>
          <w:sz w:val="24"/>
          <w:szCs w:val="24"/>
        </w:rPr>
        <w:t xml:space="preserve">, as identified by the Commission in </w:t>
      </w:r>
      <w:r w:rsidR="001D112C">
        <w:rPr>
          <w:sz w:val="24"/>
          <w:szCs w:val="24"/>
        </w:rPr>
        <w:t>the 3 April</w:t>
      </w:r>
      <w:r w:rsidR="001D112C" w:rsidRPr="00380E0D">
        <w:rPr>
          <w:sz w:val="24"/>
          <w:szCs w:val="24"/>
        </w:rPr>
        <w:t xml:space="preserve"> </w:t>
      </w:r>
      <w:r w:rsidR="001A3152" w:rsidRPr="00380E0D">
        <w:rPr>
          <w:sz w:val="24"/>
          <w:szCs w:val="24"/>
        </w:rPr>
        <w:t>Letter</w:t>
      </w:r>
      <w:bookmarkStart w:id="6" w:name="_Hlk180159374"/>
      <w:r w:rsidR="00B02487" w:rsidRPr="00380E0D">
        <w:rPr>
          <w:sz w:val="24"/>
          <w:szCs w:val="24"/>
        </w:rPr>
        <w:t xml:space="preserve"> </w:t>
      </w:r>
      <w:r w:rsidR="00B02487" w:rsidRPr="00CC4458">
        <w:rPr>
          <w:color w:val="FF0000"/>
          <w:sz w:val="24"/>
          <w:szCs w:val="24"/>
        </w:rPr>
        <w:t>[</w:t>
      </w:r>
      <w:r w:rsidR="00CC4458" w:rsidRPr="00CC4458">
        <w:rPr>
          <w:color w:val="FF0000"/>
          <w:sz w:val="24"/>
          <w:szCs w:val="24"/>
        </w:rPr>
        <w:t>EF.6</w:t>
      </w:r>
      <w:r w:rsidR="00565023">
        <w:rPr>
          <w:color w:val="FF0000"/>
          <w:sz w:val="24"/>
          <w:szCs w:val="24"/>
        </w:rPr>
        <w:t>86</w:t>
      </w:r>
      <w:r w:rsidR="00B02487" w:rsidRPr="00CC4458">
        <w:rPr>
          <w:color w:val="FF0000"/>
          <w:sz w:val="24"/>
          <w:szCs w:val="24"/>
        </w:rPr>
        <w:t>]</w:t>
      </w:r>
      <w:r w:rsidR="00AE62CF" w:rsidRPr="00380E0D">
        <w:rPr>
          <w:sz w:val="24"/>
          <w:szCs w:val="24"/>
        </w:rPr>
        <w:t>.</w:t>
      </w:r>
      <w:bookmarkEnd w:id="6"/>
      <w:r w:rsidR="00655950" w:rsidRPr="00380E0D">
        <w:rPr>
          <w:sz w:val="24"/>
          <w:szCs w:val="24"/>
        </w:rPr>
        <w:t xml:space="preserve"> </w:t>
      </w:r>
      <w:r w:rsidR="00AF0A0C" w:rsidRPr="00380E0D">
        <w:rPr>
          <w:sz w:val="24"/>
          <w:szCs w:val="24"/>
        </w:rPr>
        <w:t>T</w:t>
      </w:r>
      <w:r w:rsidR="00655950" w:rsidRPr="00380E0D">
        <w:rPr>
          <w:sz w:val="24"/>
          <w:szCs w:val="24"/>
        </w:rPr>
        <w:t>he Commission</w:t>
      </w:r>
      <w:r w:rsidR="003C5A88" w:rsidRPr="00380E0D">
        <w:rPr>
          <w:sz w:val="24"/>
          <w:szCs w:val="24"/>
        </w:rPr>
        <w:t>’</w:t>
      </w:r>
      <w:r w:rsidR="00655950" w:rsidRPr="00380E0D">
        <w:rPr>
          <w:sz w:val="24"/>
          <w:szCs w:val="24"/>
        </w:rPr>
        <w:t xml:space="preserve">s position </w:t>
      </w:r>
      <w:r w:rsidR="00AF0A0C" w:rsidRPr="00380E0D">
        <w:rPr>
          <w:sz w:val="24"/>
          <w:szCs w:val="24"/>
        </w:rPr>
        <w:t xml:space="preserve">is </w:t>
      </w:r>
      <w:r w:rsidR="00655950" w:rsidRPr="00380E0D">
        <w:rPr>
          <w:sz w:val="24"/>
          <w:szCs w:val="24"/>
        </w:rPr>
        <w:t xml:space="preserve">that these difficulties are </w:t>
      </w:r>
      <w:r w:rsidR="00B71BDE" w:rsidRPr="00380E0D">
        <w:rPr>
          <w:sz w:val="24"/>
          <w:szCs w:val="24"/>
        </w:rPr>
        <w:t>significant and concerning</w:t>
      </w:r>
      <w:r w:rsidR="007507FC">
        <w:rPr>
          <w:sz w:val="24"/>
          <w:szCs w:val="24"/>
        </w:rPr>
        <w:t xml:space="preserve">, that they impair the proper functioning of the </w:t>
      </w:r>
      <w:proofErr w:type="spellStart"/>
      <w:r w:rsidR="007507FC">
        <w:rPr>
          <w:sz w:val="24"/>
          <w:szCs w:val="24"/>
        </w:rPr>
        <w:t>EqA</w:t>
      </w:r>
      <w:proofErr w:type="spellEnd"/>
      <w:r w:rsidR="001D112C">
        <w:rPr>
          <w:sz w:val="24"/>
          <w:szCs w:val="24"/>
        </w:rPr>
        <w:t>,</w:t>
      </w:r>
      <w:r w:rsidR="007507FC">
        <w:rPr>
          <w:sz w:val="24"/>
          <w:szCs w:val="24"/>
        </w:rPr>
        <w:t xml:space="preserve"> that it is </w:t>
      </w:r>
      <w:r w:rsidR="001D112C">
        <w:rPr>
          <w:sz w:val="24"/>
          <w:szCs w:val="24"/>
        </w:rPr>
        <w:t>unlikely</w:t>
      </w:r>
      <w:r w:rsidR="007507FC">
        <w:rPr>
          <w:sz w:val="24"/>
          <w:szCs w:val="24"/>
        </w:rPr>
        <w:t xml:space="preserve"> that Parliament appreciated the </w:t>
      </w:r>
      <w:r w:rsidR="001D112C">
        <w:rPr>
          <w:sz w:val="24"/>
          <w:szCs w:val="24"/>
        </w:rPr>
        <w:t xml:space="preserve">serious </w:t>
      </w:r>
      <w:r w:rsidR="007507FC">
        <w:rPr>
          <w:sz w:val="24"/>
          <w:szCs w:val="24"/>
        </w:rPr>
        <w:t xml:space="preserve">implications for the rights of women of s. 9(1) GRA applying to the </w:t>
      </w:r>
      <w:proofErr w:type="spellStart"/>
      <w:r w:rsidR="007507FC">
        <w:rPr>
          <w:sz w:val="24"/>
          <w:szCs w:val="24"/>
        </w:rPr>
        <w:t>EqA</w:t>
      </w:r>
      <w:proofErr w:type="spellEnd"/>
      <w:r w:rsidR="001D112C">
        <w:rPr>
          <w:sz w:val="24"/>
          <w:szCs w:val="24"/>
        </w:rPr>
        <w:t xml:space="preserve"> and that these implications have become more serious with societal change since the GRA</w:t>
      </w:r>
      <w:r w:rsidR="007507FC">
        <w:rPr>
          <w:sz w:val="24"/>
          <w:szCs w:val="24"/>
        </w:rPr>
        <w:t xml:space="preserve">. </w:t>
      </w:r>
      <w:r w:rsidR="00B71BDE" w:rsidRPr="00380E0D">
        <w:rPr>
          <w:sz w:val="24"/>
          <w:szCs w:val="24"/>
        </w:rPr>
        <w:t xml:space="preserve"> </w:t>
      </w:r>
      <w:r w:rsidR="00075F96" w:rsidRPr="00380E0D">
        <w:rPr>
          <w:sz w:val="24"/>
          <w:szCs w:val="24"/>
        </w:rPr>
        <w:t xml:space="preserve">Should it assist the Court the Commission will </w:t>
      </w:r>
      <w:r w:rsidR="001A3152" w:rsidRPr="00380E0D">
        <w:rPr>
          <w:sz w:val="24"/>
          <w:szCs w:val="24"/>
        </w:rPr>
        <w:t xml:space="preserve">stand ready to </w:t>
      </w:r>
      <w:r w:rsidR="00075F96" w:rsidRPr="00380E0D">
        <w:rPr>
          <w:sz w:val="24"/>
          <w:szCs w:val="24"/>
        </w:rPr>
        <w:t xml:space="preserve">provide oral submissions on </w:t>
      </w:r>
      <w:r w:rsidR="001A3152" w:rsidRPr="00380E0D">
        <w:rPr>
          <w:sz w:val="24"/>
          <w:szCs w:val="24"/>
        </w:rPr>
        <w:t xml:space="preserve">the other difficulties identified in </w:t>
      </w:r>
      <w:r w:rsidR="00B71BDE" w:rsidRPr="00380E0D">
        <w:rPr>
          <w:sz w:val="24"/>
          <w:szCs w:val="24"/>
        </w:rPr>
        <w:t>the</w:t>
      </w:r>
      <w:r w:rsidR="001A3152" w:rsidRPr="00380E0D">
        <w:rPr>
          <w:sz w:val="24"/>
          <w:szCs w:val="24"/>
        </w:rPr>
        <w:t xml:space="preserve"> 3 April Letter, </w:t>
      </w:r>
      <w:r w:rsidR="001C229D" w:rsidRPr="00380E0D">
        <w:rPr>
          <w:sz w:val="24"/>
          <w:szCs w:val="24"/>
        </w:rPr>
        <w:t>as well as</w:t>
      </w:r>
      <w:r w:rsidR="001A3152" w:rsidRPr="00380E0D">
        <w:rPr>
          <w:sz w:val="24"/>
          <w:szCs w:val="24"/>
        </w:rPr>
        <w:t xml:space="preserve"> </w:t>
      </w:r>
      <w:r w:rsidR="00075F96" w:rsidRPr="00380E0D">
        <w:rPr>
          <w:sz w:val="24"/>
          <w:szCs w:val="24"/>
        </w:rPr>
        <w:t>the difficulties that may arise if the first definition is adopted.</w:t>
      </w:r>
      <w:bookmarkEnd w:id="5"/>
      <w:r w:rsidR="00075F96" w:rsidRPr="00380E0D">
        <w:rPr>
          <w:sz w:val="24"/>
          <w:szCs w:val="24"/>
        </w:rPr>
        <w:t xml:space="preserve">  </w:t>
      </w:r>
    </w:p>
    <w:p w14:paraId="6F6EA39E" w14:textId="77777777" w:rsidR="00655950" w:rsidRPr="00380E0D" w:rsidRDefault="00655950" w:rsidP="001A3152">
      <w:pPr>
        <w:rPr>
          <w:sz w:val="24"/>
          <w:szCs w:val="24"/>
        </w:rPr>
      </w:pPr>
    </w:p>
    <w:p w14:paraId="018F775E" w14:textId="285BF01C" w:rsidR="00655950" w:rsidRPr="00FB40E9" w:rsidRDefault="00074E3F" w:rsidP="00FB40E9">
      <w:pPr>
        <w:pStyle w:val="Heading3"/>
        <w:ind w:firstLine="0"/>
        <w:rPr>
          <w:sz w:val="24"/>
          <w:szCs w:val="24"/>
        </w:rPr>
      </w:pPr>
      <w:r w:rsidRPr="00380E0D">
        <w:rPr>
          <w:sz w:val="24"/>
          <w:szCs w:val="24"/>
        </w:rPr>
        <w:t>(</w:t>
      </w:r>
      <w:proofErr w:type="spellStart"/>
      <w:r w:rsidRPr="00380E0D">
        <w:rPr>
          <w:sz w:val="24"/>
          <w:szCs w:val="24"/>
        </w:rPr>
        <w:t>i</w:t>
      </w:r>
      <w:proofErr w:type="spellEnd"/>
      <w:r w:rsidRPr="00380E0D">
        <w:rPr>
          <w:sz w:val="24"/>
          <w:szCs w:val="24"/>
        </w:rPr>
        <w:t xml:space="preserve">) </w:t>
      </w:r>
      <w:r w:rsidR="00655950" w:rsidRPr="00380E0D">
        <w:rPr>
          <w:sz w:val="24"/>
          <w:szCs w:val="24"/>
        </w:rPr>
        <w:t>The provisions concerning discrimination on grounds of pregnancy and maternity</w:t>
      </w:r>
    </w:p>
    <w:p w14:paraId="3598C072" w14:textId="340D175A" w:rsidR="00AF0A0C" w:rsidRPr="00380E0D" w:rsidRDefault="009C52CC" w:rsidP="0010367B">
      <w:pPr>
        <w:pStyle w:val="ListParagraph"/>
        <w:numPr>
          <w:ilvl w:val="0"/>
          <w:numId w:val="1"/>
        </w:numPr>
        <w:spacing w:line="360" w:lineRule="auto"/>
        <w:jc w:val="both"/>
        <w:rPr>
          <w:sz w:val="24"/>
          <w:szCs w:val="24"/>
        </w:rPr>
      </w:pPr>
      <w:r w:rsidRPr="00380E0D">
        <w:rPr>
          <w:sz w:val="24"/>
          <w:szCs w:val="24"/>
        </w:rPr>
        <w:t>The IH reasoned in §§62-63 that the use of the term “</w:t>
      </w:r>
      <w:r w:rsidRPr="00380E0D">
        <w:rPr>
          <w:i/>
          <w:iCs/>
          <w:sz w:val="24"/>
          <w:szCs w:val="24"/>
        </w:rPr>
        <w:t>woman</w:t>
      </w:r>
      <w:r w:rsidRPr="00380E0D">
        <w:rPr>
          <w:sz w:val="24"/>
          <w:szCs w:val="24"/>
        </w:rPr>
        <w:t>” in ss.</w:t>
      </w:r>
      <w:r w:rsidR="009B3CD0" w:rsidRPr="00380E0D">
        <w:rPr>
          <w:sz w:val="24"/>
          <w:szCs w:val="24"/>
        </w:rPr>
        <w:t xml:space="preserve"> </w:t>
      </w:r>
      <w:r w:rsidRPr="00380E0D">
        <w:rPr>
          <w:sz w:val="24"/>
          <w:szCs w:val="24"/>
        </w:rPr>
        <w:t xml:space="preserve">17 and 18 </w:t>
      </w:r>
      <w:proofErr w:type="spellStart"/>
      <w:r w:rsidR="00013014" w:rsidRPr="00380E0D">
        <w:rPr>
          <w:sz w:val="24"/>
          <w:szCs w:val="24"/>
        </w:rPr>
        <w:t>EqA</w:t>
      </w:r>
      <w:proofErr w:type="spellEnd"/>
      <w:r w:rsidR="009B3CD0" w:rsidRPr="00380E0D">
        <w:rPr>
          <w:sz w:val="24"/>
          <w:szCs w:val="24"/>
        </w:rPr>
        <w:t>, which limits the scope of protection afforded on grounds of pregnancy and maternity,</w:t>
      </w:r>
      <w:r w:rsidR="00013014" w:rsidRPr="00380E0D">
        <w:rPr>
          <w:sz w:val="24"/>
          <w:szCs w:val="24"/>
        </w:rPr>
        <w:t xml:space="preserve"> </w:t>
      </w:r>
      <w:r w:rsidRPr="00380E0D">
        <w:rPr>
          <w:sz w:val="24"/>
          <w:szCs w:val="24"/>
        </w:rPr>
        <w:t>should not be regarded as depriving a person of protection who is “</w:t>
      </w:r>
      <w:r w:rsidRPr="00380E0D">
        <w:rPr>
          <w:i/>
          <w:iCs/>
          <w:sz w:val="24"/>
          <w:szCs w:val="24"/>
        </w:rPr>
        <w:t>pregnant as both a matter of fact and biology, regardless of the terms of any GRC</w:t>
      </w:r>
      <w:r w:rsidRPr="00380E0D">
        <w:rPr>
          <w:sz w:val="24"/>
          <w:szCs w:val="24"/>
        </w:rPr>
        <w:t>”. The approach of the IH extends the meaning of the word “</w:t>
      </w:r>
      <w:r w:rsidRPr="00380E0D">
        <w:rPr>
          <w:i/>
          <w:iCs/>
          <w:sz w:val="24"/>
          <w:szCs w:val="24"/>
        </w:rPr>
        <w:t>woman</w:t>
      </w:r>
      <w:r w:rsidRPr="00380E0D">
        <w:rPr>
          <w:sz w:val="24"/>
          <w:szCs w:val="24"/>
        </w:rPr>
        <w:t xml:space="preserve">” in </w:t>
      </w:r>
      <w:r w:rsidR="001C229D" w:rsidRPr="00380E0D">
        <w:rPr>
          <w:sz w:val="24"/>
          <w:szCs w:val="24"/>
        </w:rPr>
        <w:t>ss.</w:t>
      </w:r>
      <w:r w:rsidR="009B3CD0" w:rsidRPr="00380E0D">
        <w:rPr>
          <w:sz w:val="24"/>
          <w:szCs w:val="24"/>
        </w:rPr>
        <w:t xml:space="preserve"> </w:t>
      </w:r>
      <w:r w:rsidRPr="00380E0D">
        <w:rPr>
          <w:sz w:val="24"/>
          <w:szCs w:val="24"/>
        </w:rPr>
        <w:t xml:space="preserve">17 and 18 to persons who are to be </w:t>
      </w:r>
      <w:r w:rsidR="00013014" w:rsidRPr="00380E0D">
        <w:rPr>
          <w:sz w:val="24"/>
          <w:szCs w:val="24"/>
        </w:rPr>
        <w:t xml:space="preserve">regarded </w:t>
      </w:r>
      <w:r w:rsidRPr="00380E0D">
        <w:rPr>
          <w:sz w:val="24"/>
          <w:szCs w:val="24"/>
        </w:rPr>
        <w:t xml:space="preserve">as </w:t>
      </w:r>
      <w:r w:rsidR="008E1A6F" w:rsidRPr="00380E0D">
        <w:rPr>
          <w:sz w:val="24"/>
          <w:szCs w:val="24"/>
        </w:rPr>
        <w:t>“</w:t>
      </w:r>
      <w:r w:rsidRPr="00380E0D">
        <w:rPr>
          <w:i/>
          <w:iCs/>
          <w:sz w:val="24"/>
          <w:szCs w:val="24"/>
        </w:rPr>
        <w:t>male</w:t>
      </w:r>
      <w:r w:rsidR="008E1A6F" w:rsidRPr="00380E0D">
        <w:rPr>
          <w:sz w:val="24"/>
          <w:szCs w:val="24"/>
        </w:rPr>
        <w:t>” elsewhere</w:t>
      </w:r>
      <w:r w:rsidRPr="00380E0D">
        <w:rPr>
          <w:sz w:val="24"/>
          <w:szCs w:val="24"/>
        </w:rPr>
        <w:t xml:space="preserve"> </w:t>
      </w:r>
      <w:r w:rsidR="00013014" w:rsidRPr="00380E0D">
        <w:rPr>
          <w:sz w:val="24"/>
          <w:szCs w:val="24"/>
        </w:rPr>
        <w:t>in</w:t>
      </w:r>
      <w:r w:rsidRPr="00380E0D">
        <w:rPr>
          <w:sz w:val="24"/>
          <w:szCs w:val="24"/>
        </w:rPr>
        <w:t xml:space="preserve"> the </w:t>
      </w:r>
      <w:proofErr w:type="spellStart"/>
      <w:r w:rsidRPr="00380E0D">
        <w:rPr>
          <w:sz w:val="24"/>
          <w:szCs w:val="24"/>
        </w:rPr>
        <w:t>EqA</w:t>
      </w:r>
      <w:proofErr w:type="spellEnd"/>
      <w:r w:rsidRPr="00380E0D">
        <w:rPr>
          <w:sz w:val="24"/>
          <w:szCs w:val="24"/>
        </w:rPr>
        <w:t xml:space="preserve">.  </w:t>
      </w:r>
      <w:r w:rsidR="00013014" w:rsidRPr="00380E0D">
        <w:rPr>
          <w:sz w:val="24"/>
          <w:szCs w:val="24"/>
        </w:rPr>
        <w:t>The Commission submits that i</w:t>
      </w:r>
      <w:r w:rsidR="008E1A6F" w:rsidRPr="00380E0D">
        <w:rPr>
          <w:sz w:val="24"/>
          <w:szCs w:val="24"/>
        </w:rPr>
        <w:t xml:space="preserve">t </w:t>
      </w:r>
      <w:r w:rsidR="00AF0A0C" w:rsidRPr="00380E0D">
        <w:rPr>
          <w:sz w:val="24"/>
          <w:szCs w:val="24"/>
        </w:rPr>
        <w:t>would be</w:t>
      </w:r>
      <w:r w:rsidR="008E1A6F" w:rsidRPr="00380E0D">
        <w:rPr>
          <w:sz w:val="24"/>
          <w:szCs w:val="24"/>
        </w:rPr>
        <w:t xml:space="preserve"> </w:t>
      </w:r>
      <w:r w:rsidR="00AF0A0C" w:rsidRPr="00380E0D">
        <w:rPr>
          <w:sz w:val="24"/>
          <w:szCs w:val="24"/>
        </w:rPr>
        <w:t>deeply</w:t>
      </w:r>
      <w:r w:rsidR="008E1A6F" w:rsidRPr="00380E0D">
        <w:rPr>
          <w:sz w:val="24"/>
          <w:szCs w:val="24"/>
        </w:rPr>
        <w:t xml:space="preserve"> </w:t>
      </w:r>
      <w:r w:rsidR="00E0699B" w:rsidRPr="00380E0D">
        <w:rPr>
          <w:sz w:val="24"/>
          <w:szCs w:val="24"/>
        </w:rPr>
        <w:t>unsatisfactory</w:t>
      </w:r>
      <w:r w:rsidR="00332D6E" w:rsidRPr="00380E0D">
        <w:rPr>
          <w:sz w:val="24"/>
          <w:szCs w:val="24"/>
        </w:rPr>
        <w:t>,</w:t>
      </w:r>
      <w:r w:rsidR="00332D6E" w:rsidRPr="00380E0D" w:rsidDel="00332D6E">
        <w:rPr>
          <w:sz w:val="24"/>
          <w:szCs w:val="24"/>
        </w:rPr>
        <w:t xml:space="preserve"> </w:t>
      </w:r>
      <w:r w:rsidRPr="00380E0D">
        <w:rPr>
          <w:sz w:val="24"/>
          <w:szCs w:val="24"/>
        </w:rPr>
        <w:t xml:space="preserve">for the same word </w:t>
      </w:r>
      <w:r w:rsidR="008E1A6F" w:rsidRPr="00380E0D">
        <w:rPr>
          <w:sz w:val="24"/>
          <w:szCs w:val="24"/>
        </w:rPr>
        <w:t xml:space="preserve">to have </w:t>
      </w:r>
      <w:r w:rsidRPr="00380E0D">
        <w:rPr>
          <w:sz w:val="24"/>
          <w:szCs w:val="24"/>
        </w:rPr>
        <w:t xml:space="preserve">a different meaning in different </w:t>
      </w:r>
      <w:r w:rsidR="00AF0A0C" w:rsidRPr="00380E0D">
        <w:rPr>
          <w:sz w:val="24"/>
          <w:szCs w:val="24"/>
        </w:rPr>
        <w:t>sections</w:t>
      </w:r>
      <w:r w:rsidRPr="00380E0D">
        <w:rPr>
          <w:sz w:val="24"/>
          <w:szCs w:val="24"/>
        </w:rPr>
        <w:t xml:space="preserve"> of the </w:t>
      </w:r>
      <w:proofErr w:type="spellStart"/>
      <w:r w:rsidR="00013014" w:rsidRPr="00380E0D">
        <w:rPr>
          <w:sz w:val="24"/>
          <w:szCs w:val="24"/>
        </w:rPr>
        <w:t>EqA</w:t>
      </w:r>
      <w:proofErr w:type="spellEnd"/>
      <w:r w:rsidR="00013014" w:rsidRPr="00380E0D">
        <w:rPr>
          <w:sz w:val="24"/>
          <w:szCs w:val="24"/>
        </w:rPr>
        <w:t xml:space="preserve">.  </w:t>
      </w:r>
      <w:proofErr w:type="gramStart"/>
      <w:r w:rsidR="00013014" w:rsidRPr="00380E0D">
        <w:rPr>
          <w:sz w:val="24"/>
          <w:szCs w:val="24"/>
        </w:rPr>
        <w:t xml:space="preserve">In particular </w:t>
      </w:r>
      <w:r w:rsidR="008E1A6F" w:rsidRPr="00380E0D">
        <w:rPr>
          <w:sz w:val="24"/>
          <w:szCs w:val="24"/>
        </w:rPr>
        <w:t>where</w:t>
      </w:r>
      <w:proofErr w:type="gramEnd"/>
      <w:r w:rsidR="008E1A6F" w:rsidRPr="00380E0D">
        <w:rPr>
          <w:sz w:val="24"/>
          <w:szCs w:val="24"/>
        </w:rPr>
        <w:t xml:space="preserve"> that word</w:t>
      </w:r>
      <w:r w:rsidR="00AF0A0C" w:rsidRPr="00380E0D">
        <w:rPr>
          <w:sz w:val="24"/>
          <w:szCs w:val="24"/>
        </w:rPr>
        <w:t>,</w:t>
      </w:r>
      <w:r w:rsidR="008E1A6F" w:rsidRPr="00380E0D">
        <w:rPr>
          <w:sz w:val="24"/>
          <w:szCs w:val="24"/>
        </w:rPr>
        <w:t xml:space="preserve"> “</w:t>
      </w:r>
      <w:r w:rsidR="008E1A6F" w:rsidRPr="00380E0D">
        <w:rPr>
          <w:i/>
          <w:iCs/>
          <w:sz w:val="24"/>
          <w:szCs w:val="24"/>
        </w:rPr>
        <w:t>woman</w:t>
      </w:r>
      <w:r w:rsidR="008E1A6F" w:rsidRPr="00380E0D">
        <w:rPr>
          <w:sz w:val="24"/>
          <w:szCs w:val="24"/>
        </w:rPr>
        <w:t>”</w:t>
      </w:r>
      <w:r w:rsidR="00AF0A0C" w:rsidRPr="00380E0D">
        <w:rPr>
          <w:sz w:val="24"/>
          <w:szCs w:val="24"/>
        </w:rPr>
        <w:t>,</w:t>
      </w:r>
      <w:r w:rsidR="008E1A6F" w:rsidRPr="00380E0D">
        <w:rPr>
          <w:sz w:val="24"/>
          <w:szCs w:val="24"/>
        </w:rPr>
        <w:t xml:space="preserve"> is foundational to the protected characteristic of “</w:t>
      </w:r>
      <w:r w:rsidR="008E1A6F" w:rsidRPr="00380E0D">
        <w:rPr>
          <w:i/>
          <w:iCs/>
          <w:sz w:val="24"/>
          <w:szCs w:val="24"/>
        </w:rPr>
        <w:t>sex</w:t>
      </w:r>
      <w:r w:rsidR="008E1A6F" w:rsidRPr="00380E0D">
        <w:rPr>
          <w:sz w:val="24"/>
          <w:szCs w:val="24"/>
        </w:rPr>
        <w:t>”</w:t>
      </w:r>
      <w:r w:rsidR="00013014" w:rsidRPr="00380E0D">
        <w:rPr>
          <w:sz w:val="24"/>
          <w:szCs w:val="24"/>
        </w:rPr>
        <w:t xml:space="preserve"> and so to a fundamental aspect of the protection afforded by the </w:t>
      </w:r>
      <w:proofErr w:type="spellStart"/>
      <w:r w:rsidR="00013014" w:rsidRPr="00380E0D">
        <w:rPr>
          <w:sz w:val="24"/>
          <w:szCs w:val="24"/>
        </w:rPr>
        <w:t>EqA</w:t>
      </w:r>
      <w:proofErr w:type="spellEnd"/>
      <w:r w:rsidR="00AF0A0C" w:rsidRPr="00380E0D">
        <w:rPr>
          <w:sz w:val="24"/>
          <w:szCs w:val="24"/>
        </w:rPr>
        <w:t>.  I</w:t>
      </w:r>
      <w:r w:rsidRPr="00380E0D">
        <w:rPr>
          <w:sz w:val="24"/>
          <w:szCs w:val="24"/>
        </w:rPr>
        <w:t>n the interests of legal certainty and clarity</w:t>
      </w:r>
      <w:r w:rsidR="00AF0A0C" w:rsidRPr="00380E0D">
        <w:rPr>
          <w:sz w:val="24"/>
          <w:szCs w:val="24"/>
        </w:rPr>
        <w:t xml:space="preserve">, there should be a single </w:t>
      </w:r>
      <w:r w:rsidRPr="00380E0D">
        <w:rPr>
          <w:sz w:val="24"/>
          <w:szCs w:val="24"/>
        </w:rPr>
        <w:t xml:space="preserve">definition </w:t>
      </w:r>
      <w:r w:rsidR="00AF0A0C" w:rsidRPr="00380E0D">
        <w:rPr>
          <w:sz w:val="24"/>
          <w:szCs w:val="24"/>
        </w:rPr>
        <w:t xml:space="preserve">which applies </w:t>
      </w:r>
      <w:r w:rsidRPr="00380E0D">
        <w:rPr>
          <w:sz w:val="24"/>
          <w:szCs w:val="24"/>
        </w:rPr>
        <w:t xml:space="preserve">across the </w:t>
      </w:r>
      <w:proofErr w:type="spellStart"/>
      <w:r w:rsidR="00AF0A0C" w:rsidRPr="00380E0D">
        <w:rPr>
          <w:sz w:val="24"/>
          <w:szCs w:val="24"/>
        </w:rPr>
        <w:t>Eq</w:t>
      </w:r>
      <w:r w:rsidRPr="00380E0D">
        <w:rPr>
          <w:sz w:val="24"/>
          <w:szCs w:val="24"/>
        </w:rPr>
        <w:t>A</w:t>
      </w:r>
      <w:proofErr w:type="spellEnd"/>
      <w:r w:rsidRPr="00380E0D">
        <w:rPr>
          <w:sz w:val="24"/>
          <w:szCs w:val="24"/>
        </w:rPr>
        <w:t>.</w:t>
      </w:r>
    </w:p>
    <w:p w14:paraId="6F5BD65B" w14:textId="77777777" w:rsidR="00AF0A0C" w:rsidRPr="00380E0D" w:rsidRDefault="00AF0A0C" w:rsidP="00187C39">
      <w:pPr>
        <w:pStyle w:val="ListParagraph"/>
        <w:spacing w:line="360" w:lineRule="auto"/>
        <w:ind w:left="794"/>
        <w:jc w:val="both"/>
        <w:rPr>
          <w:sz w:val="24"/>
          <w:szCs w:val="24"/>
        </w:rPr>
      </w:pPr>
    </w:p>
    <w:p w14:paraId="7FEBD325" w14:textId="57B26964" w:rsidR="00C956E3" w:rsidRPr="00380E0D" w:rsidRDefault="00AF0A0C" w:rsidP="0010367B">
      <w:pPr>
        <w:pStyle w:val="ListParagraph"/>
        <w:numPr>
          <w:ilvl w:val="0"/>
          <w:numId w:val="1"/>
        </w:numPr>
        <w:spacing w:line="360" w:lineRule="auto"/>
        <w:jc w:val="both"/>
        <w:rPr>
          <w:sz w:val="24"/>
          <w:szCs w:val="24"/>
        </w:rPr>
      </w:pPr>
      <w:r w:rsidRPr="00380E0D">
        <w:rPr>
          <w:sz w:val="24"/>
          <w:szCs w:val="24"/>
        </w:rPr>
        <w:t>A</w:t>
      </w:r>
      <w:r w:rsidR="008E1A6F" w:rsidRPr="00380E0D">
        <w:rPr>
          <w:sz w:val="24"/>
          <w:szCs w:val="24"/>
        </w:rPr>
        <w:t>dopting the second definition</w:t>
      </w:r>
      <w:r w:rsidRPr="00380E0D">
        <w:rPr>
          <w:sz w:val="24"/>
          <w:szCs w:val="24"/>
        </w:rPr>
        <w:t xml:space="preserve">, and applying it to ss. 17 and 18 </w:t>
      </w:r>
      <w:proofErr w:type="spellStart"/>
      <w:r w:rsidRPr="00380E0D">
        <w:rPr>
          <w:sz w:val="24"/>
          <w:szCs w:val="24"/>
        </w:rPr>
        <w:t>EqA</w:t>
      </w:r>
      <w:proofErr w:type="spellEnd"/>
      <w:r w:rsidRPr="00380E0D">
        <w:rPr>
          <w:sz w:val="24"/>
          <w:szCs w:val="24"/>
        </w:rPr>
        <w:t>,</w:t>
      </w:r>
      <w:r w:rsidR="008E1A6F" w:rsidRPr="00380E0D">
        <w:rPr>
          <w:sz w:val="24"/>
          <w:szCs w:val="24"/>
        </w:rPr>
        <w:t xml:space="preserve"> </w:t>
      </w:r>
      <w:r w:rsidRPr="00380E0D">
        <w:rPr>
          <w:sz w:val="24"/>
          <w:szCs w:val="24"/>
        </w:rPr>
        <w:t xml:space="preserve">would </w:t>
      </w:r>
      <w:r w:rsidR="008E1A6F" w:rsidRPr="00380E0D">
        <w:rPr>
          <w:sz w:val="24"/>
          <w:szCs w:val="24"/>
        </w:rPr>
        <w:t>mean</w:t>
      </w:r>
      <w:r w:rsidRPr="00380E0D">
        <w:rPr>
          <w:sz w:val="24"/>
          <w:szCs w:val="24"/>
        </w:rPr>
        <w:t xml:space="preserve"> that</w:t>
      </w:r>
      <w:r w:rsidR="008E1A6F" w:rsidRPr="00380E0D">
        <w:rPr>
          <w:sz w:val="24"/>
          <w:szCs w:val="24"/>
        </w:rPr>
        <w:t xml:space="preserve"> a </w:t>
      </w:r>
      <w:r w:rsidRPr="00380E0D">
        <w:rPr>
          <w:sz w:val="24"/>
          <w:szCs w:val="24"/>
        </w:rPr>
        <w:t xml:space="preserve">group </w:t>
      </w:r>
      <w:r w:rsidR="008E1A6F" w:rsidRPr="00380E0D">
        <w:rPr>
          <w:sz w:val="24"/>
          <w:szCs w:val="24"/>
        </w:rPr>
        <w:t xml:space="preserve">of persons with the biological capacity </w:t>
      </w:r>
      <w:r w:rsidR="00235A4E" w:rsidRPr="00380E0D">
        <w:rPr>
          <w:sz w:val="24"/>
          <w:szCs w:val="24"/>
        </w:rPr>
        <w:t xml:space="preserve">to </w:t>
      </w:r>
      <w:r w:rsidR="008E1A6F" w:rsidRPr="00380E0D">
        <w:rPr>
          <w:sz w:val="24"/>
          <w:szCs w:val="24"/>
        </w:rPr>
        <w:t>bec</w:t>
      </w:r>
      <w:r w:rsidR="004D28A9" w:rsidRPr="00380E0D">
        <w:rPr>
          <w:sz w:val="24"/>
          <w:szCs w:val="24"/>
        </w:rPr>
        <w:t>o</w:t>
      </w:r>
      <w:r w:rsidR="008E1A6F" w:rsidRPr="00380E0D">
        <w:rPr>
          <w:sz w:val="24"/>
          <w:szCs w:val="24"/>
        </w:rPr>
        <w:t>me pregnant,</w:t>
      </w:r>
      <w:r w:rsidR="00013014" w:rsidRPr="00380E0D">
        <w:rPr>
          <w:sz w:val="24"/>
          <w:szCs w:val="24"/>
        </w:rPr>
        <w:t xml:space="preserve"> that is, </w:t>
      </w:r>
      <w:r w:rsidR="009B3CD0" w:rsidRPr="00380E0D">
        <w:rPr>
          <w:sz w:val="24"/>
          <w:szCs w:val="24"/>
        </w:rPr>
        <w:t xml:space="preserve">natal women </w:t>
      </w:r>
      <w:r w:rsidR="00740FA9" w:rsidRPr="00380E0D">
        <w:rPr>
          <w:sz w:val="24"/>
          <w:szCs w:val="24"/>
        </w:rPr>
        <w:t xml:space="preserve">with a </w:t>
      </w:r>
      <w:r w:rsidR="009B3CD0" w:rsidRPr="00380E0D">
        <w:rPr>
          <w:sz w:val="24"/>
          <w:szCs w:val="24"/>
        </w:rPr>
        <w:t xml:space="preserve">GRC, </w:t>
      </w:r>
      <w:r w:rsidRPr="00380E0D">
        <w:rPr>
          <w:sz w:val="24"/>
          <w:szCs w:val="24"/>
        </w:rPr>
        <w:t>is</w:t>
      </w:r>
      <w:r w:rsidR="008E1A6F" w:rsidRPr="00380E0D">
        <w:rPr>
          <w:sz w:val="24"/>
          <w:szCs w:val="24"/>
        </w:rPr>
        <w:t xml:space="preserve"> left without the specific protection of the </w:t>
      </w:r>
      <w:proofErr w:type="spellStart"/>
      <w:r w:rsidR="008E1A6F" w:rsidRPr="00380E0D">
        <w:rPr>
          <w:sz w:val="24"/>
          <w:szCs w:val="24"/>
        </w:rPr>
        <w:t>EqA</w:t>
      </w:r>
      <w:proofErr w:type="spellEnd"/>
      <w:r w:rsidR="009B3CD0" w:rsidRPr="00380E0D">
        <w:rPr>
          <w:sz w:val="24"/>
          <w:szCs w:val="24"/>
        </w:rPr>
        <w:t xml:space="preserve"> for that </w:t>
      </w:r>
      <w:proofErr w:type="gramStart"/>
      <w:r w:rsidR="009B3CD0" w:rsidRPr="00380E0D">
        <w:rPr>
          <w:sz w:val="24"/>
          <w:szCs w:val="24"/>
        </w:rPr>
        <w:t>particular protected</w:t>
      </w:r>
      <w:proofErr w:type="gramEnd"/>
      <w:r w:rsidR="009B3CD0" w:rsidRPr="00380E0D">
        <w:rPr>
          <w:sz w:val="24"/>
          <w:szCs w:val="24"/>
        </w:rPr>
        <w:t xml:space="preserve"> </w:t>
      </w:r>
      <w:r w:rsidR="009B3CD0" w:rsidRPr="00380E0D">
        <w:rPr>
          <w:sz w:val="24"/>
          <w:szCs w:val="24"/>
        </w:rPr>
        <w:lastRenderedPageBreak/>
        <w:t>characteristic. Sections</w:t>
      </w:r>
      <w:r w:rsidR="00E133D3" w:rsidRPr="00380E0D">
        <w:rPr>
          <w:sz w:val="24"/>
          <w:szCs w:val="24"/>
        </w:rPr>
        <w:t xml:space="preserve"> 17 and 18 will still apply </w:t>
      </w:r>
      <w:r w:rsidR="008E1A6F" w:rsidRPr="00380E0D">
        <w:rPr>
          <w:sz w:val="24"/>
          <w:szCs w:val="24"/>
        </w:rPr>
        <w:t xml:space="preserve">to </w:t>
      </w:r>
      <w:proofErr w:type="gramStart"/>
      <w:r w:rsidR="008E1A6F" w:rsidRPr="00380E0D">
        <w:rPr>
          <w:sz w:val="24"/>
          <w:szCs w:val="24"/>
        </w:rPr>
        <w:t xml:space="preserve">the </w:t>
      </w:r>
      <w:r w:rsidR="00E133D3" w:rsidRPr="00380E0D">
        <w:rPr>
          <w:sz w:val="24"/>
          <w:szCs w:val="24"/>
        </w:rPr>
        <w:t xml:space="preserve">overwhelming </w:t>
      </w:r>
      <w:r w:rsidR="008E1A6F" w:rsidRPr="00380E0D">
        <w:rPr>
          <w:sz w:val="24"/>
          <w:szCs w:val="24"/>
        </w:rPr>
        <w:t>majority of</w:t>
      </w:r>
      <w:proofErr w:type="gramEnd"/>
      <w:r w:rsidR="00E133D3" w:rsidRPr="00380E0D">
        <w:rPr>
          <w:sz w:val="24"/>
          <w:szCs w:val="24"/>
        </w:rPr>
        <w:t xml:space="preserve"> natal women who require their protection</w:t>
      </w:r>
      <w:r w:rsidR="008E1A6F" w:rsidRPr="00380E0D">
        <w:rPr>
          <w:sz w:val="24"/>
          <w:szCs w:val="24"/>
        </w:rPr>
        <w:t xml:space="preserve">.  </w:t>
      </w:r>
      <w:r w:rsidR="00E133D3" w:rsidRPr="00380E0D">
        <w:rPr>
          <w:sz w:val="24"/>
          <w:szCs w:val="24"/>
        </w:rPr>
        <w:t>Even the small minority who are unprotected by ss. 17 and 18 has</w:t>
      </w:r>
      <w:r w:rsidR="00235A4E" w:rsidRPr="00380E0D">
        <w:rPr>
          <w:sz w:val="24"/>
          <w:szCs w:val="24"/>
        </w:rPr>
        <w:t xml:space="preserve"> </w:t>
      </w:r>
      <w:r w:rsidR="00E133D3" w:rsidRPr="00380E0D">
        <w:rPr>
          <w:sz w:val="24"/>
          <w:szCs w:val="24"/>
        </w:rPr>
        <w:t>the possibility of a claim for discrimination</w:t>
      </w:r>
      <w:r w:rsidR="009B3CD0" w:rsidRPr="00380E0D">
        <w:rPr>
          <w:sz w:val="24"/>
          <w:szCs w:val="24"/>
        </w:rPr>
        <w:t xml:space="preserve"> on grounds of gender reassignment</w:t>
      </w:r>
      <w:r w:rsidR="00E133D3" w:rsidRPr="00380E0D">
        <w:rPr>
          <w:sz w:val="24"/>
          <w:szCs w:val="24"/>
        </w:rPr>
        <w:t xml:space="preserve">, </w:t>
      </w:r>
      <w:r w:rsidR="009B3CD0" w:rsidRPr="00380E0D">
        <w:rPr>
          <w:sz w:val="24"/>
          <w:szCs w:val="24"/>
        </w:rPr>
        <w:t xml:space="preserve">on the basis that a natal </w:t>
      </w:r>
      <w:r w:rsidR="00E133D3" w:rsidRPr="00380E0D">
        <w:rPr>
          <w:sz w:val="24"/>
          <w:szCs w:val="24"/>
        </w:rPr>
        <w:t>woman who is pregnant is or would be afforded greater protection or better treatment than a</w:t>
      </w:r>
      <w:r w:rsidR="009B3CD0" w:rsidRPr="00380E0D">
        <w:rPr>
          <w:sz w:val="24"/>
          <w:szCs w:val="24"/>
        </w:rPr>
        <w:t xml:space="preserve"> </w:t>
      </w:r>
      <w:r w:rsidR="0030576D" w:rsidRPr="00380E0D">
        <w:rPr>
          <w:sz w:val="24"/>
          <w:szCs w:val="24"/>
        </w:rPr>
        <w:t>trans man</w:t>
      </w:r>
      <w:r w:rsidR="009B3CD0" w:rsidRPr="00380E0D">
        <w:rPr>
          <w:sz w:val="24"/>
          <w:szCs w:val="24"/>
        </w:rPr>
        <w:t xml:space="preserve"> with a GRC.</w:t>
      </w:r>
      <w:r w:rsidR="009D5C21" w:rsidRPr="00380E0D">
        <w:rPr>
          <w:sz w:val="24"/>
          <w:szCs w:val="24"/>
        </w:rPr>
        <w:t xml:space="preserve"> </w:t>
      </w:r>
    </w:p>
    <w:p w14:paraId="3BACB48B" w14:textId="77777777" w:rsidR="00670A1F" w:rsidRPr="00380E0D" w:rsidRDefault="00670A1F" w:rsidP="00670A1F">
      <w:pPr>
        <w:pStyle w:val="ListParagraph"/>
        <w:spacing w:line="360" w:lineRule="auto"/>
        <w:jc w:val="both"/>
        <w:rPr>
          <w:sz w:val="24"/>
          <w:szCs w:val="24"/>
        </w:rPr>
      </w:pPr>
    </w:p>
    <w:p w14:paraId="6B6A7C74" w14:textId="357FF657" w:rsidR="003D086B" w:rsidRPr="00380E0D" w:rsidRDefault="00374C3A" w:rsidP="0010367B">
      <w:pPr>
        <w:pStyle w:val="ListParagraph"/>
        <w:numPr>
          <w:ilvl w:val="0"/>
          <w:numId w:val="1"/>
        </w:numPr>
        <w:spacing w:line="360" w:lineRule="auto"/>
        <w:jc w:val="both"/>
        <w:rPr>
          <w:sz w:val="24"/>
          <w:szCs w:val="24"/>
        </w:rPr>
      </w:pPr>
      <w:r w:rsidRPr="00380E0D">
        <w:rPr>
          <w:sz w:val="24"/>
          <w:szCs w:val="24"/>
        </w:rPr>
        <w:t>T</w:t>
      </w:r>
      <w:r w:rsidR="001C229D" w:rsidRPr="00380E0D">
        <w:rPr>
          <w:sz w:val="24"/>
          <w:szCs w:val="24"/>
        </w:rPr>
        <w:t>he Appellant</w:t>
      </w:r>
      <w:r w:rsidR="007660F9">
        <w:rPr>
          <w:sz w:val="24"/>
          <w:szCs w:val="24"/>
        </w:rPr>
        <w:t>’s</w:t>
      </w:r>
      <w:r w:rsidR="001C229D" w:rsidRPr="00380E0D">
        <w:rPr>
          <w:sz w:val="24"/>
          <w:szCs w:val="24"/>
        </w:rPr>
        <w:t xml:space="preserve"> written </w:t>
      </w:r>
      <w:r w:rsidR="00013014" w:rsidRPr="00380E0D">
        <w:rPr>
          <w:sz w:val="24"/>
          <w:szCs w:val="24"/>
        </w:rPr>
        <w:t>C</w:t>
      </w:r>
      <w:r w:rsidR="001C229D" w:rsidRPr="00380E0D">
        <w:rPr>
          <w:sz w:val="24"/>
          <w:szCs w:val="24"/>
        </w:rPr>
        <w:t>ase [AC/§68</w:t>
      </w:r>
      <w:r w:rsidR="008155E8">
        <w:rPr>
          <w:sz w:val="24"/>
          <w:szCs w:val="24"/>
        </w:rPr>
        <w:t xml:space="preserve"> </w:t>
      </w:r>
      <w:r w:rsidR="008155E8" w:rsidRPr="008155E8">
        <w:rPr>
          <w:color w:val="FF0000"/>
          <w:sz w:val="24"/>
          <w:szCs w:val="24"/>
        </w:rPr>
        <w:t>EF</w:t>
      </w:r>
      <w:r w:rsidR="003706F3">
        <w:rPr>
          <w:color w:val="FF0000"/>
          <w:sz w:val="24"/>
          <w:szCs w:val="24"/>
        </w:rPr>
        <w:t>.</w:t>
      </w:r>
      <w:r w:rsidR="00565023">
        <w:rPr>
          <w:color w:val="FF0000"/>
          <w:sz w:val="24"/>
          <w:szCs w:val="24"/>
        </w:rPr>
        <w:t>182</w:t>
      </w:r>
      <w:r w:rsidR="001C229D" w:rsidRPr="00380E0D">
        <w:rPr>
          <w:sz w:val="24"/>
          <w:szCs w:val="24"/>
        </w:rPr>
        <w:t>]</w:t>
      </w:r>
      <w:r w:rsidR="006E2B48" w:rsidRPr="00380E0D">
        <w:rPr>
          <w:sz w:val="24"/>
          <w:szCs w:val="24"/>
        </w:rPr>
        <w:t xml:space="preserve"> </w:t>
      </w:r>
      <w:r w:rsidRPr="00380E0D">
        <w:rPr>
          <w:sz w:val="24"/>
          <w:szCs w:val="24"/>
        </w:rPr>
        <w:t xml:space="preserve">mentions a series of provisions which relate to </w:t>
      </w:r>
      <w:r w:rsidR="008B1726" w:rsidRPr="00380E0D">
        <w:rPr>
          <w:sz w:val="24"/>
          <w:szCs w:val="24"/>
        </w:rPr>
        <w:t>“</w:t>
      </w:r>
      <w:r w:rsidR="008B1726" w:rsidRPr="00380E0D">
        <w:rPr>
          <w:i/>
          <w:iCs/>
          <w:sz w:val="24"/>
          <w:szCs w:val="24"/>
        </w:rPr>
        <w:t>pregnancy and maternity</w:t>
      </w:r>
      <w:r w:rsidR="008B1726" w:rsidRPr="00380E0D">
        <w:rPr>
          <w:sz w:val="24"/>
          <w:szCs w:val="24"/>
        </w:rPr>
        <w:t xml:space="preserve">”, some but not all of </w:t>
      </w:r>
      <w:r w:rsidR="00013014" w:rsidRPr="00380E0D">
        <w:rPr>
          <w:sz w:val="24"/>
          <w:szCs w:val="24"/>
        </w:rPr>
        <w:t xml:space="preserve">which </w:t>
      </w:r>
      <w:r w:rsidR="008B1726" w:rsidRPr="00380E0D">
        <w:rPr>
          <w:sz w:val="24"/>
          <w:szCs w:val="24"/>
        </w:rPr>
        <w:t>include a specific reference to “</w:t>
      </w:r>
      <w:r w:rsidR="008B1726" w:rsidRPr="00380E0D">
        <w:rPr>
          <w:i/>
          <w:iCs/>
          <w:sz w:val="24"/>
          <w:szCs w:val="24"/>
        </w:rPr>
        <w:t>women</w:t>
      </w:r>
      <w:r w:rsidR="008B1726" w:rsidRPr="00380E0D">
        <w:rPr>
          <w:sz w:val="24"/>
          <w:szCs w:val="24"/>
        </w:rPr>
        <w:t>”</w:t>
      </w:r>
      <w:r w:rsidR="00AD6166" w:rsidRPr="00380E0D">
        <w:rPr>
          <w:sz w:val="24"/>
          <w:szCs w:val="24"/>
        </w:rPr>
        <w:t xml:space="preserve"> as a limit on the scope of their protection</w:t>
      </w:r>
      <w:r w:rsidR="003F5D23" w:rsidRPr="00380E0D">
        <w:rPr>
          <w:sz w:val="24"/>
          <w:szCs w:val="24"/>
        </w:rPr>
        <w:t>.</w:t>
      </w:r>
      <w:r w:rsidR="008B1726" w:rsidRPr="00380E0D">
        <w:rPr>
          <w:sz w:val="24"/>
          <w:szCs w:val="24"/>
        </w:rPr>
        <w:t xml:space="preserve"> </w:t>
      </w:r>
      <w:r w:rsidR="003F5D23" w:rsidRPr="00380E0D">
        <w:rPr>
          <w:sz w:val="24"/>
          <w:szCs w:val="24"/>
        </w:rPr>
        <w:t>W</w:t>
      </w:r>
      <w:r w:rsidR="008B1726" w:rsidRPr="00380E0D">
        <w:rPr>
          <w:sz w:val="24"/>
          <w:szCs w:val="24"/>
        </w:rPr>
        <w:t>here there is no such reference</w:t>
      </w:r>
      <w:r w:rsidR="00AD6166" w:rsidRPr="00380E0D">
        <w:rPr>
          <w:sz w:val="24"/>
          <w:szCs w:val="24"/>
        </w:rPr>
        <w:t>,</w:t>
      </w:r>
      <w:r w:rsidR="008B1726" w:rsidRPr="00380E0D">
        <w:rPr>
          <w:sz w:val="24"/>
          <w:szCs w:val="24"/>
        </w:rPr>
        <w:t xml:space="preserve"> those provisions would not be affected by the </w:t>
      </w:r>
      <w:r w:rsidR="00E133D3" w:rsidRPr="00380E0D">
        <w:rPr>
          <w:sz w:val="24"/>
          <w:szCs w:val="24"/>
        </w:rPr>
        <w:t>same difficulties which arise under ss. 17 and 18</w:t>
      </w:r>
      <w:r w:rsidR="008B1726" w:rsidRPr="00380E0D">
        <w:rPr>
          <w:sz w:val="24"/>
          <w:szCs w:val="24"/>
        </w:rPr>
        <w:t>: i.e. ss.39(6), 49(12), 50(12)</w:t>
      </w:r>
      <w:r w:rsidR="00AD6166" w:rsidRPr="00380E0D">
        <w:rPr>
          <w:sz w:val="24"/>
          <w:szCs w:val="24"/>
        </w:rPr>
        <w:t xml:space="preserve"> and </w:t>
      </w:r>
      <w:r w:rsidR="008B1726" w:rsidRPr="00380E0D">
        <w:rPr>
          <w:sz w:val="24"/>
          <w:szCs w:val="24"/>
        </w:rPr>
        <w:t xml:space="preserve">106(6)(b). </w:t>
      </w:r>
      <w:r w:rsidR="000C321C" w:rsidRPr="00380E0D">
        <w:rPr>
          <w:sz w:val="24"/>
          <w:szCs w:val="24"/>
        </w:rPr>
        <w:t xml:space="preserve">Those </w:t>
      </w:r>
      <w:r w:rsidR="007660F9">
        <w:rPr>
          <w:sz w:val="24"/>
          <w:szCs w:val="24"/>
        </w:rPr>
        <w:t xml:space="preserve">provisions which are </w:t>
      </w:r>
      <w:r w:rsidR="000C321C" w:rsidRPr="00380E0D">
        <w:rPr>
          <w:sz w:val="24"/>
          <w:szCs w:val="24"/>
        </w:rPr>
        <w:t xml:space="preserve">affected include </w:t>
      </w:r>
      <w:r w:rsidR="00C956E3" w:rsidRPr="00380E0D">
        <w:rPr>
          <w:sz w:val="24"/>
          <w:szCs w:val="24"/>
        </w:rPr>
        <w:t>s</w:t>
      </w:r>
      <w:r w:rsidR="00526E24" w:rsidRPr="00380E0D">
        <w:rPr>
          <w:sz w:val="24"/>
          <w:szCs w:val="24"/>
        </w:rPr>
        <w:t>s</w:t>
      </w:r>
      <w:r w:rsidR="00C956E3" w:rsidRPr="00380E0D">
        <w:rPr>
          <w:sz w:val="24"/>
          <w:szCs w:val="24"/>
        </w:rPr>
        <w:t>.</w:t>
      </w:r>
      <w:r w:rsidR="00AD6166" w:rsidRPr="00380E0D">
        <w:rPr>
          <w:sz w:val="24"/>
          <w:szCs w:val="24"/>
        </w:rPr>
        <w:t xml:space="preserve"> </w:t>
      </w:r>
      <w:r w:rsidR="00C956E3" w:rsidRPr="00380E0D">
        <w:rPr>
          <w:sz w:val="24"/>
          <w:szCs w:val="24"/>
        </w:rPr>
        <w:t>73-76</w:t>
      </w:r>
      <w:r w:rsidR="007858FF" w:rsidRPr="00380E0D">
        <w:rPr>
          <w:sz w:val="24"/>
          <w:szCs w:val="24"/>
        </w:rPr>
        <w:t xml:space="preserve"> </w:t>
      </w:r>
      <w:proofErr w:type="spellStart"/>
      <w:r w:rsidR="007858FF" w:rsidRPr="00380E0D">
        <w:rPr>
          <w:sz w:val="24"/>
          <w:szCs w:val="24"/>
        </w:rPr>
        <w:t>EqA</w:t>
      </w:r>
      <w:proofErr w:type="spellEnd"/>
      <w:r w:rsidR="00C956E3" w:rsidRPr="00380E0D">
        <w:rPr>
          <w:sz w:val="24"/>
          <w:szCs w:val="24"/>
        </w:rPr>
        <w:t xml:space="preserve"> relating to further protections that are extended during maternity</w:t>
      </w:r>
      <w:r w:rsidR="00670A1F" w:rsidRPr="00380E0D">
        <w:rPr>
          <w:sz w:val="24"/>
          <w:szCs w:val="24"/>
        </w:rPr>
        <w:t xml:space="preserve"> (maternity equality clause)</w:t>
      </w:r>
      <w:r w:rsidR="00C956E3" w:rsidRPr="00380E0D">
        <w:rPr>
          <w:sz w:val="24"/>
          <w:szCs w:val="24"/>
        </w:rPr>
        <w:t xml:space="preserve"> </w:t>
      </w:r>
      <w:r w:rsidR="00E133D3" w:rsidRPr="00380E0D">
        <w:rPr>
          <w:sz w:val="24"/>
          <w:szCs w:val="24"/>
        </w:rPr>
        <w:t xml:space="preserve">and which </w:t>
      </w:r>
      <w:r w:rsidR="00C956E3" w:rsidRPr="00380E0D">
        <w:rPr>
          <w:sz w:val="24"/>
          <w:szCs w:val="24"/>
        </w:rPr>
        <w:t>would apply only to a “</w:t>
      </w:r>
      <w:r w:rsidR="00C956E3" w:rsidRPr="00380E0D">
        <w:rPr>
          <w:i/>
          <w:iCs/>
          <w:sz w:val="24"/>
          <w:szCs w:val="24"/>
        </w:rPr>
        <w:t>woman</w:t>
      </w:r>
      <w:r w:rsidR="00C956E3" w:rsidRPr="00380E0D">
        <w:rPr>
          <w:sz w:val="24"/>
          <w:szCs w:val="24"/>
        </w:rPr>
        <w:t xml:space="preserve">” </w:t>
      </w:r>
      <w:r w:rsidR="00670A1F" w:rsidRPr="00380E0D">
        <w:rPr>
          <w:sz w:val="24"/>
          <w:szCs w:val="24"/>
        </w:rPr>
        <w:t xml:space="preserve">by dint of </w:t>
      </w:r>
      <w:r w:rsidR="00C956E3" w:rsidRPr="00380E0D">
        <w:rPr>
          <w:sz w:val="24"/>
          <w:szCs w:val="24"/>
        </w:rPr>
        <w:t>s.72</w:t>
      </w:r>
      <w:r w:rsidR="00670A1F" w:rsidRPr="00380E0D">
        <w:rPr>
          <w:sz w:val="24"/>
          <w:szCs w:val="24"/>
        </w:rPr>
        <w:t>. They would</w:t>
      </w:r>
      <w:r w:rsidR="00C956E3" w:rsidRPr="00380E0D">
        <w:rPr>
          <w:sz w:val="24"/>
          <w:szCs w:val="24"/>
        </w:rPr>
        <w:t xml:space="preserve"> not </w:t>
      </w:r>
      <w:r w:rsidR="00670A1F" w:rsidRPr="00380E0D">
        <w:rPr>
          <w:sz w:val="24"/>
          <w:szCs w:val="24"/>
        </w:rPr>
        <w:t xml:space="preserve">apply to </w:t>
      </w:r>
      <w:r w:rsidR="00C956E3" w:rsidRPr="00380E0D">
        <w:rPr>
          <w:sz w:val="24"/>
          <w:szCs w:val="24"/>
        </w:rPr>
        <w:t>a</w:t>
      </w:r>
      <w:r w:rsidR="0030576D" w:rsidRPr="00380E0D">
        <w:rPr>
          <w:sz w:val="24"/>
          <w:szCs w:val="24"/>
        </w:rPr>
        <w:t xml:space="preserve"> trans man</w:t>
      </w:r>
      <w:r w:rsidR="00AD6166" w:rsidRPr="00380E0D">
        <w:rPr>
          <w:sz w:val="24"/>
          <w:szCs w:val="24"/>
        </w:rPr>
        <w:t xml:space="preserve"> with </w:t>
      </w:r>
      <w:r w:rsidR="00C956E3" w:rsidRPr="00380E0D">
        <w:rPr>
          <w:sz w:val="24"/>
          <w:szCs w:val="24"/>
        </w:rPr>
        <w:t>a GRC</w:t>
      </w:r>
      <w:r w:rsidR="00235A4E" w:rsidRPr="00380E0D">
        <w:rPr>
          <w:sz w:val="24"/>
          <w:szCs w:val="24"/>
        </w:rPr>
        <w:t>.</w:t>
      </w:r>
    </w:p>
    <w:p w14:paraId="6F356054" w14:textId="77777777" w:rsidR="003D086B" w:rsidRPr="00536BFF" w:rsidRDefault="003D086B" w:rsidP="003D086B">
      <w:pPr>
        <w:pStyle w:val="ListParagraph"/>
        <w:rPr>
          <w:sz w:val="24"/>
          <w:szCs w:val="24"/>
        </w:rPr>
      </w:pPr>
    </w:p>
    <w:p w14:paraId="22584474" w14:textId="1050CFCA" w:rsidR="00984A5D" w:rsidRPr="00380E0D" w:rsidRDefault="00644148" w:rsidP="0010367B">
      <w:pPr>
        <w:pStyle w:val="ListParagraph"/>
        <w:numPr>
          <w:ilvl w:val="0"/>
          <w:numId w:val="1"/>
        </w:numPr>
        <w:spacing w:line="360" w:lineRule="auto"/>
        <w:jc w:val="both"/>
        <w:rPr>
          <w:sz w:val="24"/>
          <w:szCs w:val="24"/>
        </w:rPr>
      </w:pPr>
      <w:r w:rsidRPr="00380E0D">
        <w:rPr>
          <w:sz w:val="24"/>
          <w:szCs w:val="24"/>
        </w:rPr>
        <w:t>Equally</w:t>
      </w:r>
      <w:r w:rsidR="001C229D" w:rsidRPr="00380E0D">
        <w:rPr>
          <w:sz w:val="24"/>
          <w:szCs w:val="24"/>
        </w:rPr>
        <w:t xml:space="preserve">, </w:t>
      </w:r>
      <w:r w:rsidRPr="00380E0D">
        <w:rPr>
          <w:sz w:val="24"/>
          <w:szCs w:val="24"/>
        </w:rPr>
        <w:t>the “</w:t>
      </w:r>
      <w:r w:rsidRPr="00380E0D">
        <w:rPr>
          <w:i/>
          <w:iCs/>
          <w:sz w:val="24"/>
          <w:szCs w:val="24"/>
        </w:rPr>
        <w:t>Health and safety</w:t>
      </w:r>
      <w:r w:rsidRPr="00380E0D">
        <w:rPr>
          <w:sz w:val="24"/>
          <w:szCs w:val="24"/>
        </w:rPr>
        <w:t xml:space="preserve">” exemption provided at </w:t>
      </w:r>
      <w:r w:rsidR="001C229D" w:rsidRPr="00380E0D">
        <w:rPr>
          <w:sz w:val="24"/>
          <w:szCs w:val="24"/>
        </w:rPr>
        <w:t>§</w:t>
      </w:r>
      <w:r w:rsidRPr="00380E0D">
        <w:rPr>
          <w:sz w:val="24"/>
          <w:szCs w:val="24"/>
        </w:rPr>
        <w:t xml:space="preserve">14 of </w:t>
      </w:r>
      <w:r w:rsidR="00AD6166" w:rsidRPr="00380E0D">
        <w:rPr>
          <w:sz w:val="24"/>
          <w:szCs w:val="24"/>
        </w:rPr>
        <w:t>S</w:t>
      </w:r>
      <w:r w:rsidRPr="00380E0D">
        <w:rPr>
          <w:sz w:val="24"/>
          <w:szCs w:val="24"/>
        </w:rPr>
        <w:t>ch</w:t>
      </w:r>
      <w:r w:rsidR="00AD6166" w:rsidRPr="00380E0D">
        <w:rPr>
          <w:sz w:val="24"/>
          <w:szCs w:val="24"/>
        </w:rPr>
        <w:t>.</w:t>
      </w:r>
      <w:r w:rsidRPr="00380E0D">
        <w:rPr>
          <w:sz w:val="24"/>
          <w:szCs w:val="24"/>
        </w:rPr>
        <w:t xml:space="preserve"> </w:t>
      </w:r>
      <w:r w:rsidR="00374C3A" w:rsidRPr="00380E0D">
        <w:rPr>
          <w:sz w:val="24"/>
          <w:szCs w:val="24"/>
        </w:rPr>
        <w:t>3</w:t>
      </w:r>
      <w:r w:rsidR="001C229D" w:rsidRPr="00380E0D">
        <w:rPr>
          <w:sz w:val="24"/>
          <w:szCs w:val="24"/>
        </w:rPr>
        <w:t xml:space="preserve"> is affected</w:t>
      </w:r>
      <w:r w:rsidR="00AD6166" w:rsidRPr="00380E0D">
        <w:rPr>
          <w:sz w:val="24"/>
          <w:szCs w:val="24"/>
        </w:rPr>
        <w:t xml:space="preserve">: </w:t>
      </w:r>
      <w:r w:rsidRPr="00380E0D">
        <w:rPr>
          <w:sz w:val="24"/>
          <w:szCs w:val="24"/>
        </w:rPr>
        <w:t>that permits a service provider to refuse to provide a service to a “</w:t>
      </w:r>
      <w:r w:rsidRPr="00380E0D">
        <w:rPr>
          <w:i/>
          <w:iCs/>
          <w:sz w:val="24"/>
          <w:szCs w:val="24"/>
        </w:rPr>
        <w:t>pregnant woman</w:t>
      </w:r>
      <w:r w:rsidRPr="00380E0D">
        <w:rPr>
          <w:sz w:val="24"/>
          <w:szCs w:val="24"/>
        </w:rPr>
        <w:t xml:space="preserve">” if they reasonably believe that to do so would create a risk to her </w:t>
      </w:r>
      <w:r w:rsidR="009C52CC" w:rsidRPr="00380E0D">
        <w:rPr>
          <w:sz w:val="24"/>
          <w:szCs w:val="24"/>
        </w:rPr>
        <w:t>“</w:t>
      </w:r>
      <w:r w:rsidRPr="00380E0D">
        <w:rPr>
          <w:i/>
          <w:iCs/>
          <w:sz w:val="24"/>
          <w:szCs w:val="24"/>
        </w:rPr>
        <w:t>health and safety</w:t>
      </w:r>
      <w:r w:rsidR="000E53C6" w:rsidRPr="00380E0D">
        <w:rPr>
          <w:sz w:val="24"/>
          <w:szCs w:val="24"/>
        </w:rPr>
        <w:t>” (and similarly in relation to a conditional service)</w:t>
      </w:r>
      <w:r w:rsidRPr="00380E0D">
        <w:rPr>
          <w:sz w:val="24"/>
          <w:szCs w:val="24"/>
        </w:rPr>
        <w:t xml:space="preserve">.  </w:t>
      </w:r>
      <w:r w:rsidR="00AD6166" w:rsidRPr="00380E0D">
        <w:rPr>
          <w:sz w:val="24"/>
          <w:szCs w:val="24"/>
        </w:rPr>
        <w:t>I</w:t>
      </w:r>
      <w:r w:rsidR="006E2B48" w:rsidRPr="00380E0D">
        <w:rPr>
          <w:sz w:val="24"/>
          <w:szCs w:val="24"/>
        </w:rPr>
        <w:t>f a service provider refused to provide the services to a pregnant</w:t>
      </w:r>
      <w:r w:rsidR="0030576D" w:rsidRPr="00380E0D">
        <w:rPr>
          <w:sz w:val="24"/>
          <w:szCs w:val="24"/>
        </w:rPr>
        <w:t xml:space="preserve"> trans</w:t>
      </w:r>
      <w:r w:rsidR="006E2B48" w:rsidRPr="00380E0D">
        <w:rPr>
          <w:sz w:val="24"/>
          <w:szCs w:val="24"/>
        </w:rPr>
        <w:t xml:space="preserve"> man who </w:t>
      </w:r>
      <w:r w:rsidR="0030576D" w:rsidRPr="00380E0D">
        <w:rPr>
          <w:sz w:val="24"/>
          <w:szCs w:val="24"/>
        </w:rPr>
        <w:t>has been issued with a GR</w:t>
      </w:r>
      <w:r w:rsidR="006E2B48" w:rsidRPr="00380E0D">
        <w:rPr>
          <w:sz w:val="24"/>
          <w:szCs w:val="24"/>
        </w:rPr>
        <w:t>C</w:t>
      </w:r>
      <w:r w:rsidR="001C229D" w:rsidRPr="00380E0D">
        <w:rPr>
          <w:sz w:val="24"/>
          <w:szCs w:val="24"/>
        </w:rPr>
        <w:t>,</w:t>
      </w:r>
      <w:r w:rsidR="006E2B48" w:rsidRPr="00380E0D">
        <w:rPr>
          <w:sz w:val="24"/>
          <w:szCs w:val="24"/>
        </w:rPr>
        <w:t xml:space="preserve"> they would not be protected </w:t>
      </w:r>
      <w:r w:rsidR="001C229D" w:rsidRPr="00380E0D">
        <w:rPr>
          <w:sz w:val="24"/>
          <w:szCs w:val="24"/>
        </w:rPr>
        <w:t>against a claim for discrimination</w:t>
      </w:r>
      <w:r w:rsidR="003D086B" w:rsidRPr="00380E0D">
        <w:rPr>
          <w:sz w:val="24"/>
          <w:szCs w:val="24"/>
        </w:rPr>
        <w:t xml:space="preserve"> on grounds of pregnancy</w:t>
      </w:r>
      <w:r w:rsidR="00740FA9" w:rsidRPr="00380E0D">
        <w:rPr>
          <w:sz w:val="24"/>
          <w:szCs w:val="24"/>
        </w:rPr>
        <w:t>,</w:t>
      </w:r>
      <w:r w:rsidR="003D086B" w:rsidRPr="00380E0D">
        <w:rPr>
          <w:sz w:val="24"/>
          <w:szCs w:val="24"/>
        </w:rPr>
        <w:t xml:space="preserve"> but no such claim could be brought by a </w:t>
      </w:r>
      <w:r w:rsidR="0030576D" w:rsidRPr="00380E0D">
        <w:rPr>
          <w:sz w:val="24"/>
          <w:szCs w:val="24"/>
        </w:rPr>
        <w:t xml:space="preserve">trans man with </w:t>
      </w:r>
      <w:r w:rsidR="003D086B" w:rsidRPr="00380E0D">
        <w:rPr>
          <w:sz w:val="24"/>
          <w:szCs w:val="24"/>
        </w:rPr>
        <w:t xml:space="preserve">a GRC, as the right under s. 17 </w:t>
      </w:r>
      <w:proofErr w:type="spellStart"/>
      <w:r w:rsidR="003D086B" w:rsidRPr="00380E0D">
        <w:rPr>
          <w:sz w:val="24"/>
          <w:szCs w:val="24"/>
        </w:rPr>
        <w:t>EqA</w:t>
      </w:r>
      <w:proofErr w:type="spellEnd"/>
      <w:r w:rsidR="003D086B" w:rsidRPr="00380E0D">
        <w:rPr>
          <w:sz w:val="24"/>
          <w:szCs w:val="24"/>
        </w:rPr>
        <w:t xml:space="preserve"> to claim discrimination on grounds of pregnancy against a service provider only applies to a “</w:t>
      </w:r>
      <w:r w:rsidR="003D086B" w:rsidRPr="00380E0D">
        <w:rPr>
          <w:i/>
          <w:iCs/>
          <w:sz w:val="24"/>
          <w:szCs w:val="24"/>
        </w:rPr>
        <w:t>woman</w:t>
      </w:r>
      <w:r w:rsidR="003D086B" w:rsidRPr="00380E0D">
        <w:rPr>
          <w:sz w:val="24"/>
          <w:szCs w:val="24"/>
        </w:rPr>
        <w:t>”</w:t>
      </w:r>
      <w:r w:rsidR="000E53C6" w:rsidRPr="00380E0D">
        <w:rPr>
          <w:sz w:val="24"/>
          <w:szCs w:val="24"/>
        </w:rPr>
        <w:t xml:space="preserve"> (see also </w:t>
      </w:r>
      <w:r w:rsidR="003D086B" w:rsidRPr="00380E0D">
        <w:rPr>
          <w:sz w:val="24"/>
          <w:szCs w:val="24"/>
        </w:rPr>
        <w:t xml:space="preserve">§2 of Sch. </w:t>
      </w:r>
      <w:r w:rsidR="000C321C" w:rsidRPr="00380E0D">
        <w:rPr>
          <w:sz w:val="24"/>
          <w:szCs w:val="24"/>
        </w:rPr>
        <w:t xml:space="preserve">16 </w:t>
      </w:r>
      <w:r w:rsidR="000E53C6" w:rsidRPr="00380E0D">
        <w:rPr>
          <w:sz w:val="24"/>
          <w:szCs w:val="24"/>
        </w:rPr>
        <w:t>in relation to</w:t>
      </w:r>
      <w:r w:rsidR="000C321C" w:rsidRPr="00380E0D">
        <w:rPr>
          <w:sz w:val="24"/>
          <w:szCs w:val="24"/>
        </w:rPr>
        <w:t xml:space="preserve"> associations</w:t>
      </w:r>
      <w:r w:rsidR="000E53C6" w:rsidRPr="00380E0D">
        <w:rPr>
          <w:sz w:val="24"/>
          <w:szCs w:val="24"/>
        </w:rPr>
        <w:t>)</w:t>
      </w:r>
      <w:r w:rsidR="00B8385C" w:rsidRPr="00380E0D">
        <w:rPr>
          <w:sz w:val="24"/>
          <w:szCs w:val="24"/>
        </w:rPr>
        <w:t>.  Further protection for “</w:t>
      </w:r>
      <w:r w:rsidR="00B8385C" w:rsidRPr="00380E0D">
        <w:rPr>
          <w:i/>
          <w:iCs/>
          <w:sz w:val="24"/>
          <w:szCs w:val="24"/>
        </w:rPr>
        <w:t>women</w:t>
      </w:r>
      <w:r w:rsidR="00B8385C" w:rsidRPr="00380E0D">
        <w:rPr>
          <w:sz w:val="24"/>
          <w:szCs w:val="24"/>
        </w:rPr>
        <w:t xml:space="preserve">” </w:t>
      </w:r>
      <w:r w:rsidR="00984A5D" w:rsidRPr="00380E0D">
        <w:rPr>
          <w:sz w:val="24"/>
          <w:szCs w:val="24"/>
        </w:rPr>
        <w:t xml:space="preserve">only </w:t>
      </w:r>
      <w:r w:rsidR="00B8385C" w:rsidRPr="00380E0D">
        <w:rPr>
          <w:sz w:val="24"/>
          <w:szCs w:val="24"/>
        </w:rPr>
        <w:t xml:space="preserve">who are pregnant </w:t>
      </w:r>
      <w:r w:rsidR="00984A5D" w:rsidRPr="00380E0D">
        <w:rPr>
          <w:sz w:val="24"/>
          <w:szCs w:val="24"/>
        </w:rPr>
        <w:t xml:space="preserve">appears in </w:t>
      </w:r>
      <w:r w:rsidR="00B8385C" w:rsidRPr="00380E0D">
        <w:rPr>
          <w:sz w:val="24"/>
          <w:szCs w:val="24"/>
        </w:rPr>
        <w:t>§2</w:t>
      </w:r>
      <w:r w:rsidR="00984A5D" w:rsidRPr="00380E0D">
        <w:rPr>
          <w:sz w:val="24"/>
          <w:szCs w:val="24"/>
        </w:rPr>
        <w:t xml:space="preserve"> of Sch.</w:t>
      </w:r>
      <w:r w:rsidR="00B8385C" w:rsidRPr="00380E0D">
        <w:rPr>
          <w:sz w:val="24"/>
          <w:szCs w:val="24"/>
        </w:rPr>
        <w:t xml:space="preserve"> 22</w:t>
      </w:r>
      <w:r w:rsidR="00984A5D" w:rsidRPr="00380E0D">
        <w:rPr>
          <w:sz w:val="24"/>
          <w:szCs w:val="24"/>
        </w:rPr>
        <w:t xml:space="preserve"> in relation to work and vocational training</w:t>
      </w:r>
      <w:r w:rsidR="00E133D3" w:rsidRPr="00380E0D">
        <w:rPr>
          <w:sz w:val="24"/>
          <w:szCs w:val="24"/>
        </w:rPr>
        <w:t xml:space="preserve">.  This </w:t>
      </w:r>
      <w:r w:rsidR="00B8385C" w:rsidRPr="00380E0D">
        <w:rPr>
          <w:sz w:val="24"/>
          <w:szCs w:val="24"/>
        </w:rPr>
        <w:t xml:space="preserve">protection would not apply to </w:t>
      </w:r>
      <w:r w:rsidR="00B02487" w:rsidRPr="00380E0D">
        <w:rPr>
          <w:sz w:val="24"/>
          <w:szCs w:val="24"/>
        </w:rPr>
        <w:t xml:space="preserve">a </w:t>
      </w:r>
      <w:r w:rsidR="0030576D" w:rsidRPr="00380E0D">
        <w:rPr>
          <w:sz w:val="24"/>
          <w:szCs w:val="24"/>
        </w:rPr>
        <w:t>trans man</w:t>
      </w:r>
      <w:r w:rsidR="00984A5D" w:rsidRPr="00380E0D">
        <w:rPr>
          <w:sz w:val="24"/>
          <w:szCs w:val="24"/>
        </w:rPr>
        <w:t xml:space="preserve"> with </w:t>
      </w:r>
      <w:r w:rsidR="00B02487" w:rsidRPr="00380E0D">
        <w:rPr>
          <w:sz w:val="24"/>
          <w:szCs w:val="24"/>
        </w:rPr>
        <w:t>a GRC</w:t>
      </w:r>
      <w:r w:rsidR="00E133D3" w:rsidRPr="00380E0D">
        <w:rPr>
          <w:sz w:val="24"/>
          <w:szCs w:val="24"/>
        </w:rPr>
        <w:t xml:space="preserve"> (see also </w:t>
      </w:r>
      <w:r w:rsidR="000C321C" w:rsidRPr="00380E0D">
        <w:rPr>
          <w:sz w:val="24"/>
          <w:szCs w:val="24"/>
        </w:rPr>
        <w:t>§23(2)(d)</w:t>
      </w:r>
      <w:r w:rsidR="00984A5D" w:rsidRPr="00380E0D">
        <w:rPr>
          <w:sz w:val="24"/>
          <w:szCs w:val="24"/>
        </w:rPr>
        <w:t xml:space="preserve"> </w:t>
      </w:r>
      <w:proofErr w:type="gramStart"/>
      <w:r w:rsidR="00984A5D" w:rsidRPr="00380E0D">
        <w:rPr>
          <w:sz w:val="24"/>
          <w:szCs w:val="24"/>
        </w:rPr>
        <w:t xml:space="preserve">of </w:t>
      </w:r>
      <w:r w:rsidR="000C321C" w:rsidRPr="00380E0D">
        <w:rPr>
          <w:sz w:val="24"/>
          <w:szCs w:val="24"/>
        </w:rPr>
        <w:t xml:space="preserve"> </w:t>
      </w:r>
      <w:r w:rsidR="00984A5D" w:rsidRPr="00380E0D">
        <w:rPr>
          <w:sz w:val="24"/>
          <w:szCs w:val="24"/>
        </w:rPr>
        <w:t>Sch.</w:t>
      </w:r>
      <w:proofErr w:type="gramEnd"/>
      <w:r w:rsidR="00984A5D" w:rsidRPr="00380E0D">
        <w:rPr>
          <w:sz w:val="24"/>
          <w:szCs w:val="24"/>
        </w:rPr>
        <w:t xml:space="preserve"> 3, </w:t>
      </w:r>
      <w:r w:rsidR="000C321C" w:rsidRPr="00380E0D">
        <w:rPr>
          <w:sz w:val="24"/>
          <w:szCs w:val="24"/>
        </w:rPr>
        <w:t>§2</w:t>
      </w:r>
      <w:r w:rsidR="00984A5D" w:rsidRPr="00380E0D">
        <w:rPr>
          <w:sz w:val="24"/>
          <w:szCs w:val="24"/>
        </w:rPr>
        <w:t xml:space="preserve"> of</w:t>
      </w:r>
      <w:r w:rsidR="000C321C" w:rsidRPr="00380E0D">
        <w:rPr>
          <w:sz w:val="24"/>
          <w:szCs w:val="24"/>
        </w:rPr>
        <w:t xml:space="preserve"> </w:t>
      </w:r>
      <w:r w:rsidR="00984A5D" w:rsidRPr="00380E0D">
        <w:rPr>
          <w:sz w:val="24"/>
          <w:szCs w:val="24"/>
        </w:rPr>
        <w:t>S</w:t>
      </w:r>
      <w:r w:rsidR="000C321C" w:rsidRPr="00380E0D">
        <w:rPr>
          <w:sz w:val="24"/>
          <w:szCs w:val="24"/>
        </w:rPr>
        <w:t>ch</w:t>
      </w:r>
      <w:r w:rsidR="00984A5D" w:rsidRPr="00380E0D">
        <w:rPr>
          <w:sz w:val="24"/>
          <w:szCs w:val="24"/>
        </w:rPr>
        <w:t>.</w:t>
      </w:r>
      <w:r w:rsidR="000C321C" w:rsidRPr="00380E0D">
        <w:rPr>
          <w:sz w:val="24"/>
          <w:szCs w:val="24"/>
        </w:rPr>
        <w:t xml:space="preserve"> 7</w:t>
      </w:r>
      <w:r w:rsidR="00984A5D" w:rsidRPr="00380E0D">
        <w:rPr>
          <w:sz w:val="24"/>
          <w:szCs w:val="24"/>
        </w:rPr>
        <w:t xml:space="preserve"> and </w:t>
      </w:r>
      <w:r w:rsidR="000C321C" w:rsidRPr="00380E0D">
        <w:rPr>
          <w:sz w:val="24"/>
          <w:szCs w:val="24"/>
        </w:rPr>
        <w:t>§20(2)(c)</w:t>
      </w:r>
      <w:r w:rsidR="00B8385C" w:rsidRPr="00380E0D">
        <w:rPr>
          <w:sz w:val="24"/>
          <w:szCs w:val="24"/>
        </w:rPr>
        <w:t xml:space="preserve"> </w:t>
      </w:r>
      <w:r w:rsidR="00984A5D" w:rsidRPr="00380E0D">
        <w:rPr>
          <w:sz w:val="24"/>
          <w:szCs w:val="24"/>
        </w:rPr>
        <w:t xml:space="preserve">of Sch. </w:t>
      </w:r>
      <w:r w:rsidR="000C321C" w:rsidRPr="00380E0D">
        <w:rPr>
          <w:sz w:val="24"/>
          <w:szCs w:val="24"/>
        </w:rPr>
        <w:t>9</w:t>
      </w:r>
      <w:r w:rsidR="00984A5D" w:rsidRPr="00380E0D">
        <w:rPr>
          <w:sz w:val="24"/>
          <w:szCs w:val="24"/>
        </w:rPr>
        <w:t>)</w:t>
      </w:r>
      <w:r w:rsidR="000C321C" w:rsidRPr="00380E0D">
        <w:rPr>
          <w:sz w:val="24"/>
          <w:szCs w:val="24"/>
        </w:rPr>
        <w:t>.</w:t>
      </w:r>
    </w:p>
    <w:p w14:paraId="4D495AAF" w14:textId="77777777" w:rsidR="00984A5D" w:rsidRPr="00380E0D" w:rsidRDefault="00984A5D" w:rsidP="00984A5D">
      <w:pPr>
        <w:pStyle w:val="ListParagraph"/>
        <w:spacing w:line="360" w:lineRule="auto"/>
        <w:ind w:left="794"/>
        <w:jc w:val="both"/>
        <w:rPr>
          <w:sz w:val="24"/>
          <w:szCs w:val="24"/>
        </w:rPr>
      </w:pPr>
    </w:p>
    <w:p w14:paraId="2AF4E45C" w14:textId="1A61F076" w:rsidR="00C956E3" w:rsidRPr="00380E0D" w:rsidRDefault="00984A5D" w:rsidP="0010367B">
      <w:pPr>
        <w:pStyle w:val="ListParagraph"/>
        <w:numPr>
          <w:ilvl w:val="0"/>
          <w:numId w:val="1"/>
        </w:numPr>
        <w:spacing w:line="360" w:lineRule="auto"/>
        <w:jc w:val="both"/>
        <w:rPr>
          <w:sz w:val="24"/>
          <w:szCs w:val="24"/>
        </w:rPr>
      </w:pPr>
      <w:r w:rsidRPr="00380E0D">
        <w:rPr>
          <w:sz w:val="24"/>
          <w:szCs w:val="24"/>
        </w:rPr>
        <w:t xml:space="preserve">In short, there is a range of </w:t>
      </w:r>
      <w:proofErr w:type="spellStart"/>
      <w:r w:rsidRPr="00380E0D">
        <w:rPr>
          <w:sz w:val="24"/>
          <w:szCs w:val="24"/>
        </w:rPr>
        <w:t>EqA</w:t>
      </w:r>
      <w:proofErr w:type="spellEnd"/>
      <w:r w:rsidRPr="00380E0D">
        <w:rPr>
          <w:sz w:val="24"/>
          <w:szCs w:val="24"/>
        </w:rPr>
        <w:t xml:space="preserve"> provisions directed at the protected characteristic of pregnancy which do not, on the second definition, serve to protect those who have GRCs in the male acquired gender and who may have the capacity to become pregnant.</w:t>
      </w:r>
    </w:p>
    <w:p w14:paraId="6D3B13C6" w14:textId="77777777" w:rsidR="00427756" w:rsidRPr="00380E0D" w:rsidRDefault="00427756" w:rsidP="00427756">
      <w:pPr>
        <w:pStyle w:val="ListParagraph"/>
        <w:spacing w:line="360" w:lineRule="auto"/>
        <w:jc w:val="both"/>
        <w:rPr>
          <w:sz w:val="24"/>
          <w:szCs w:val="24"/>
        </w:rPr>
      </w:pPr>
    </w:p>
    <w:p w14:paraId="56985585" w14:textId="67EE2151" w:rsidR="00CB2664" w:rsidRPr="00380E0D" w:rsidRDefault="00074E3F" w:rsidP="00074E3F">
      <w:pPr>
        <w:pStyle w:val="Heading3"/>
        <w:rPr>
          <w:sz w:val="24"/>
          <w:szCs w:val="24"/>
        </w:rPr>
      </w:pPr>
      <w:r w:rsidRPr="00380E0D">
        <w:rPr>
          <w:sz w:val="24"/>
          <w:szCs w:val="24"/>
        </w:rPr>
        <w:t xml:space="preserve">(ii) </w:t>
      </w:r>
      <w:r w:rsidR="00CB2664" w:rsidRPr="00380E0D">
        <w:rPr>
          <w:sz w:val="24"/>
          <w:szCs w:val="24"/>
        </w:rPr>
        <w:t xml:space="preserve">Effect of a GRC on protection against sexual orientation discrimination </w:t>
      </w:r>
    </w:p>
    <w:p w14:paraId="6181E26D" w14:textId="2A2BFB93" w:rsidR="005E4916" w:rsidRPr="00380E0D" w:rsidRDefault="005E4916" w:rsidP="00235A4E">
      <w:pPr>
        <w:pStyle w:val="ListParagraph"/>
        <w:numPr>
          <w:ilvl w:val="0"/>
          <w:numId w:val="1"/>
        </w:numPr>
        <w:spacing w:line="360" w:lineRule="auto"/>
        <w:jc w:val="both"/>
        <w:rPr>
          <w:sz w:val="24"/>
          <w:szCs w:val="24"/>
        </w:rPr>
      </w:pPr>
      <w:r w:rsidRPr="00380E0D">
        <w:rPr>
          <w:sz w:val="24"/>
          <w:szCs w:val="24"/>
        </w:rPr>
        <w:t>In §57 of its judgment, the IH criticised the 3 April</w:t>
      </w:r>
      <w:r w:rsidR="00A94A85" w:rsidRPr="00380E0D">
        <w:rPr>
          <w:sz w:val="24"/>
          <w:szCs w:val="24"/>
        </w:rPr>
        <w:t xml:space="preserve"> </w:t>
      </w:r>
      <w:r w:rsidR="00235A4E" w:rsidRPr="00380E0D">
        <w:rPr>
          <w:sz w:val="24"/>
          <w:szCs w:val="24"/>
        </w:rPr>
        <w:t xml:space="preserve">Letter </w:t>
      </w:r>
      <w:r w:rsidRPr="00380E0D">
        <w:rPr>
          <w:sz w:val="24"/>
          <w:szCs w:val="24"/>
        </w:rPr>
        <w:t xml:space="preserve">for a paragraph which </w:t>
      </w:r>
      <w:r w:rsidR="00235A4E" w:rsidRPr="00380E0D">
        <w:rPr>
          <w:sz w:val="24"/>
          <w:szCs w:val="24"/>
        </w:rPr>
        <w:t>included “</w:t>
      </w:r>
      <w:r w:rsidR="00235A4E" w:rsidRPr="00380E0D">
        <w:rPr>
          <w:i/>
          <w:iCs/>
          <w:sz w:val="24"/>
          <w:szCs w:val="24"/>
        </w:rPr>
        <w:t>[</w:t>
      </w:r>
      <w:proofErr w:type="spellStart"/>
      <w:r w:rsidR="00235A4E" w:rsidRPr="00380E0D">
        <w:rPr>
          <w:i/>
          <w:iCs/>
          <w:sz w:val="24"/>
          <w:szCs w:val="24"/>
        </w:rPr>
        <w:t>i</w:t>
      </w:r>
      <w:proofErr w:type="spellEnd"/>
      <w:r w:rsidR="00235A4E" w:rsidRPr="00380E0D">
        <w:rPr>
          <w:i/>
          <w:iCs/>
          <w:sz w:val="24"/>
          <w:szCs w:val="24"/>
        </w:rPr>
        <w:t>]</w:t>
      </w:r>
      <w:r w:rsidRPr="00FB40E9">
        <w:rPr>
          <w:i/>
          <w:iCs/>
          <w:sz w:val="24"/>
          <w:szCs w:val="24"/>
        </w:rPr>
        <w:t>f sex means legal sex, then sexual orientation changes on acquiring a GRC: some trans women with a GRC become legally lesbian, and some trans men with a GRC become gay men.</w:t>
      </w:r>
      <w:r w:rsidR="00235A4E" w:rsidRPr="00380E0D">
        <w:rPr>
          <w:i/>
          <w:iCs/>
          <w:sz w:val="24"/>
          <w:szCs w:val="24"/>
        </w:rPr>
        <w:t xml:space="preserve">” </w:t>
      </w:r>
      <w:r w:rsidR="008155E8" w:rsidRPr="008155E8">
        <w:rPr>
          <w:color w:val="FF0000"/>
          <w:sz w:val="24"/>
          <w:szCs w:val="24"/>
        </w:rPr>
        <w:t>[EF</w:t>
      </w:r>
      <w:r w:rsidR="003706F3">
        <w:rPr>
          <w:color w:val="FF0000"/>
          <w:sz w:val="24"/>
          <w:szCs w:val="24"/>
        </w:rPr>
        <w:t>.</w:t>
      </w:r>
      <w:r w:rsidR="00565023">
        <w:rPr>
          <w:color w:val="FF0000"/>
          <w:sz w:val="24"/>
          <w:szCs w:val="24"/>
        </w:rPr>
        <w:t>1032</w:t>
      </w:r>
      <w:r w:rsidR="008155E8" w:rsidRPr="008155E8">
        <w:rPr>
          <w:color w:val="FF0000"/>
          <w:sz w:val="24"/>
          <w:szCs w:val="24"/>
        </w:rPr>
        <w:t>]</w:t>
      </w:r>
      <w:r w:rsidR="008155E8">
        <w:rPr>
          <w:sz w:val="24"/>
          <w:szCs w:val="24"/>
        </w:rPr>
        <w:t xml:space="preserve">. </w:t>
      </w:r>
      <w:r w:rsidRPr="00380E0D">
        <w:rPr>
          <w:sz w:val="24"/>
          <w:szCs w:val="24"/>
        </w:rPr>
        <w:t xml:space="preserve">This </w:t>
      </w:r>
      <w:r w:rsidRPr="00380E0D">
        <w:rPr>
          <w:sz w:val="24"/>
          <w:szCs w:val="24"/>
        </w:rPr>
        <w:lastRenderedPageBreak/>
        <w:t xml:space="preserve">paragraph was put forward to the Minister as one of eight areas in which the definition of sex for the purposes of the </w:t>
      </w:r>
      <w:proofErr w:type="spellStart"/>
      <w:r w:rsidRPr="00380E0D">
        <w:rPr>
          <w:sz w:val="24"/>
          <w:szCs w:val="24"/>
        </w:rPr>
        <w:t>EqA</w:t>
      </w:r>
      <w:proofErr w:type="spellEnd"/>
      <w:r w:rsidRPr="00380E0D">
        <w:rPr>
          <w:sz w:val="24"/>
          <w:szCs w:val="24"/>
        </w:rPr>
        <w:t xml:space="preserve"> as </w:t>
      </w:r>
      <w:r w:rsidR="00F84E06" w:rsidRPr="00380E0D">
        <w:rPr>
          <w:sz w:val="24"/>
          <w:szCs w:val="24"/>
        </w:rPr>
        <w:t>biological/</w:t>
      </w:r>
      <w:r w:rsidR="002814F9" w:rsidRPr="00380E0D">
        <w:rPr>
          <w:sz w:val="24"/>
          <w:szCs w:val="24"/>
        </w:rPr>
        <w:t>natal sex</w:t>
      </w:r>
      <w:r w:rsidRPr="00380E0D">
        <w:rPr>
          <w:sz w:val="24"/>
          <w:szCs w:val="24"/>
        </w:rPr>
        <w:t xml:space="preserve"> would bring greater legal clarity. The IH held that it “</w:t>
      </w:r>
      <w:r w:rsidRPr="00380E0D">
        <w:rPr>
          <w:i/>
          <w:iCs/>
          <w:sz w:val="24"/>
          <w:szCs w:val="24"/>
        </w:rPr>
        <w:t>is not a necessary inference from Section 9 of the GRA that a person’s sexual orientation changes on acquiring a GRC</w:t>
      </w:r>
      <w:r w:rsidR="0039111A" w:rsidRPr="00380E0D">
        <w:rPr>
          <w:i/>
          <w:iCs/>
          <w:sz w:val="24"/>
          <w:szCs w:val="24"/>
        </w:rPr>
        <w:t>.</w:t>
      </w:r>
      <w:r w:rsidR="0039111A" w:rsidRPr="00380E0D">
        <w:rPr>
          <w:sz w:val="24"/>
          <w:szCs w:val="24"/>
        </w:rPr>
        <w:t xml:space="preserve"> </w:t>
      </w:r>
      <w:r w:rsidR="0039111A" w:rsidRPr="00380E0D">
        <w:rPr>
          <w:i/>
          <w:iCs/>
          <w:sz w:val="24"/>
          <w:szCs w:val="24"/>
        </w:rPr>
        <w:t xml:space="preserve">There is no such thing as being “legally lesbian” and </w:t>
      </w:r>
      <w:r w:rsidRPr="00380E0D">
        <w:rPr>
          <w:i/>
          <w:iCs/>
          <w:sz w:val="24"/>
          <w:szCs w:val="24"/>
        </w:rPr>
        <w:t xml:space="preserve">we have not identified a problem which would require that sex be </w:t>
      </w:r>
      <w:proofErr w:type="spellStart"/>
      <w:r w:rsidRPr="00380E0D">
        <w:rPr>
          <w:i/>
          <w:iCs/>
          <w:sz w:val="24"/>
          <w:szCs w:val="24"/>
        </w:rPr>
        <w:t>referable</w:t>
      </w:r>
      <w:proofErr w:type="spellEnd"/>
      <w:r w:rsidRPr="00380E0D">
        <w:rPr>
          <w:i/>
          <w:iCs/>
          <w:sz w:val="24"/>
          <w:szCs w:val="24"/>
        </w:rPr>
        <w:t xml:space="preserve"> to biology alone</w:t>
      </w:r>
      <w:r w:rsidRPr="00380E0D">
        <w:rPr>
          <w:sz w:val="24"/>
          <w:szCs w:val="24"/>
        </w:rPr>
        <w:t>”</w:t>
      </w:r>
      <w:r w:rsidR="008155E8">
        <w:rPr>
          <w:sz w:val="24"/>
          <w:szCs w:val="24"/>
        </w:rPr>
        <w:t xml:space="preserve"> </w:t>
      </w:r>
      <w:r w:rsidR="008155E8" w:rsidRPr="008155E8">
        <w:rPr>
          <w:color w:val="FF0000"/>
          <w:sz w:val="24"/>
          <w:szCs w:val="24"/>
        </w:rPr>
        <w:t>[EF</w:t>
      </w:r>
      <w:r w:rsidR="003706F3">
        <w:rPr>
          <w:color w:val="FF0000"/>
          <w:sz w:val="24"/>
          <w:szCs w:val="24"/>
        </w:rPr>
        <w:t>.</w:t>
      </w:r>
      <w:r w:rsidR="00565023">
        <w:rPr>
          <w:color w:val="FF0000"/>
          <w:sz w:val="24"/>
          <w:szCs w:val="24"/>
        </w:rPr>
        <w:t>1032</w:t>
      </w:r>
      <w:r w:rsidR="008155E8" w:rsidRPr="008155E8">
        <w:rPr>
          <w:color w:val="FF0000"/>
          <w:sz w:val="24"/>
          <w:szCs w:val="24"/>
        </w:rPr>
        <w:t>]</w:t>
      </w:r>
      <w:r w:rsidRPr="00380E0D">
        <w:rPr>
          <w:sz w:val="24"/>
          <w:szCs w:val="24"/>
        </w:rPr>
        <w:t>.</w:t>
      </w:r>
    </w:p>
    <w:p w14:paraId="4ED85E0B" w14:textId="77777777" w:rsidR="005E4916" w:rsidRPr="00380E0D" w:rsidRDefault="005E4916" w:rsidP="005E4916">
      <w:pPr>
        <w:pStyle w:val="ListParagraph"/>
        <w:spacing w:line="360" w:lineRule="auto"/>
        <w:jc w:val="both"/>
        <w:rPr>
          <w:sz w:val="24"/>
          <w:szCs w:val="24"/>
        </w:rPr>
      </w:pPr>
    </w:p>
    <w:p w14:paraId="76162897" w14:textId="5E1CE03D" w:rsidR="0060104C" w:rsidRPr="00536BFF" w:rsidRDefault="005E4916" w:rsidP="0039111A">
      <w:pPr>
        <w:pStyle w:val="ListParagraph"/>
        <w:numPr>
          <w:ilvl w:val="0"/>
          <w:numId w:val="1"/>
        </w:numPr>
        <w:spacing w:line="360" w:lineRule="auto"/>
        <w:jc w:val="both"/>
        <w:rPr>
          <w:sz w:val="24"/>
          <w:szCs w:val="24"/>
        </w:rPr>
      </w:pPr>
      <w:r w:rsidRPr="00380E0D">
        <w:rPr>
          <w:sz w:val="24"/>
          <w:szCs w:val="24"/>
        </w:rPr>
        <w:t xml:space="preserve">In common with the Appellant </w:t>
      </w:r>
      <w:r w:rsidR="00AA70DB" w:rsidRPr="00380E0D">
        <w:rPr>
          <w:sz w:val="24"/>
          <w:szCs w:val="24"/>
        </w:rPr>
        <w:t xml:space="preserve">(see </w:t>
      </w:r>
      <w:r w:rsidR="00CC45E7" w:rsidRPr="00380E0D">
        <w:rPr>
          <w:sz w:val="24"/>
          <w:szCs w:val="24"/>
        </w:rPr>
        <w:t>[</w:t>
      </w:r>
      <w:r w:rsidR="00AA70DB" w:rsidRPr="00380E0D">
        <w:rPr>
          <w:sz w:val="24"/>
          <w:szCs w:val="24"/>
        </w:rPr>
        <w:t>AC§</w:t>
      </w:r>
      <w:r w:rsidR="00A94A85" w:rsidRPr="00380E0D">
        <w:rPr>
          <w:sz w:val="24"/>
          <w:szCs w:val="24"/>
        </w:rPr>
        <w:t>106</w:t>
      </w:r>
      <w:r w:rsidR="008155E8">
        <w:rPr>
          <w:sz w:val="24"/>
          <w:szCs w:val="24"/>
        </w:rPr>
        <w:t xml:space="preserve"> </w:t>
      </w:r>
      <w:r w:rsidR="008155E8" w:rsidRPr="008155E8">
        <w:rPr>
          <w:color w:val="FF0000"/>
          <w:sz w:val="24"/>
          <w:szCs w:val="24"/>
        </w:rPr>
        <w:t>EF</w:t>
      </w:r>
      <w:r w:rsidR="003706F3">
        <w:rPr>
          <w:color w:val="FF0000"/>
          <w:sz w:val="24"/>
          <w:szCs w:val="24"/>
        </w:rPr>
        <w:t>.1</w:t>
      </w:r>
      <w:r w:rsidR="00565023">
        <w:rPr>
          <w:color w:val="FF0000"/>
          <w:sz w:val="24"/>
          <w:szCs w:val="24"/>
        </w:rPr>
        <w:t>98</w:t>
      </w:r>
      <w:r w:rsidR="00CC45E7" w:rsidRPr="00380E0D">
        <w:rPr>
          <w:sz w:val="24"/>
          <w:szCs w:val="24"/>
        </w:rPr>
        <w:t>]</w:t>
      </w:r>
      <w:r w:rsidR="00AA70DB" w:rsidRPr="00380E0D">
        <w:rPr>
          <w:sz w:val="24"/>
          <w:szCs w:val="24"/>
        </w:rPr>
        <w:t>)</w:t>
      </w:r>
      <w:r w:rsidRPr="00380E0D">
        <w:rPr>
          <w:sz w:val="24"/>
          <w:szCs w:val="24"/>
        </w:rPr>
        <w:t xml:space="preserve">, </w:t>
      </w:r>
      <w:r w:rsidR="00A94A85" w:rsidRPr="00380E0D">
        <w:rPr>
          <w:sz w:val="24"/>
          <w:szCs w:val="24"/>
        </w:rPr>
        <w:t xml:space="preserve">the </w:t>
      </w:r>
      <w:r w:rsidR="00AA70DB" w:rsidRPr="00380E0D">
        <w:rPr>
          <w:sz w:val="24"/>
          <w:szCs w:val="24"/>
        </w:rPr>
        <w:t>Commission</w:t>
      </w:r>
      <w:r w:rsidR="00A94A85" w:rsidRPr="00380E0D">
        <w:rPr>
          <w:sz w:val="24"/>
          <w:szCs w:val="24"/>
        </w:rPr>
        <w:t xml:space="preserve"> maintains that </w:t>
      </w:r>
      <w:r w:rsidR="00AA70DB" w:rsidRPr="00380E0D">
        <w:rPr>
          <w:sz w:val="24"/>
          <w:szCs w:val="24"/>
        </w:rPr>
        <w:t>the</w:t>
      </w:r>
      <w:r w:rsidRPr="00380E0D">
        <w:rPr>
          <w:sz w:val="24"/>
          <w:szCs w:val="24"/>
        </w:rPr>
        <w:t xml:space="preserve"> IH was wrong to cast doubt upon</w:t>
      </w:r>
      <w:r w:rsidR="00AA70DB" w:rsidRPr="00380E0D">
        <w:rPr>
          <w:sz w:val="24"/>
          <w:szCs w:val="24"/>
        </w:rPr>
        <w:t xml:space="preserve"> </w:t>
      </w:r>
      <w:r w:rsidR="00A94A85" w:rsidRPr="00380E0D">
        <w:rPr>
          <w:sz w:val="24"/>
          <w:szCs w:val="24"/>
        </w:rPr>
        <w:t>its</w:t>
      </w:r>
      <w:r w:rsidR="00AA70DB" w:rsidRPr="00380E0D">
        <w:rPr>
          <w:sz w:val="24"/>
          <w:szCs w:val="24"/>
        </w:rPr>
        <w:t xml:space="preserve"> analysis</w:t>
      </w:r>
      <w:r w:rsidRPr="00380E0D">
        <w:rPr>
          <w:sz w:val="24"/>
          <w:szCs w:val="24"/>
        </w:rPr>
        <w:t xml:space="preserve">. It is correct that on the footing that </w:t>
      </w:r>
      <w:r w:rsidR="00DA60B0">
        <w:rPr>
          <w:sz w:val="24"/>
          <w:szCs w:val="24"/>
        </w:rPr>
        <w:t>“</w:t>
      </w:r>
      <w:r w:rsidRPr="00380E0D">
        <w:rPr>
          <w:sz w:val="24"/>
          <w:szCs w:val="24"/>
        </w:rPr>
        <w:t>sex</w:t>
      </w:r>
      <w:r w:rsidR="00DA60B0">
        <w:rPr>
          <w:sz w:val="24"/>
          <w:szCs w:val="24"/>
        </w:rPr>
        <w:t>”</w:t>
      </w:r>
      <w:r w:rsidRPr="00380E0D">
        <w:rPr>
          <w:sz w:val="24"/>
          <w:szCs w:val="24"/>
        </w:rPr>
        <w:t xml:space="preserve"> in the </w:t>
      </w:r>
      <w:proofErr w:type="spellStart"/>
      <w:r w:rsidRPr="00380E0D">
        <w:rPr>
          <w:sz w:val="24"/>
          <w:szCs w:val="24"/>
        </w:rPr>
        <w:t>EqA</w:t>
      </w:r>
      <w:proofErr w:type="spellEnd"/>
      <w:r w:rsidRPr="00380E0D">
        <w:rPr>
          <w:sz w:val="24"/>
          <w:szCs w:val="24"/>
        </w:rPr>
        <w:t xml:space="preserve"> </w:t>
      </w:r>
      <w:r w:rsidR="00D220B2" w:rsidRPr="00380E0D">
        <w:rPr>
          <w:sz w:val="24"/>
          <w:szCs w:val="24"/>
        </w:rPr>
        <w:t>includes</w:t>
      </w:r>
      <w:r w:rsidRPr="00380E0D">
        <w:rPr>
          <w:sz w:val="24"/>
          <w:szCs w:val="24"/>
        </w:rPr>
        <w:t xml:space="preserve"> </w:t>
      </w:r>
      <w:r w:rsidR="00D220B2" w:rsidRPr="00380E0D">
        <w:rPr>
          <w:sz w:val="24"/>
          <w:szCs w:val="24"/>
        </w:rPr>
        <w:t>certified sex</w:t>
      </w:r>
      <w:r w:rsidRPr="00380E0D">
        <w:rPr>
          <w:sz w:val="24"/>
          <w:szCs w:val="24"/>
        </w:rPr>
        <w:t>, then for example, a heterosexual man, who is sexually attracted to women, to whom a GRC is issued in the acquired gender of female will</w:t>
      </w:r>
      <w:r w:rsidR="00424F21" w:rsidRPr="00380E0D">
        <w:rPr>
          <w:sz w:val="24"/>
          <w:szCs w:val="24"/>
        </w:rPr>
        <w:t>, at that point,</w:t>
      </w:r>
      <w:r w:rsidRPr="00380E0D">
        <w:rPr>
          <w:sz w:val="24"/>
          <w:szCs w:val="24"/>
        </w:rPr>
        <w:t xml:space="preserve"> be regarded as a </w:t>
      </w:r>
      <w:r w:rsidR="00235A4E" w:rsidRPr="00380E0D">
        <w:rPr>
          <w:sz w:val="24"/>
          <w:szCs w:val="24"/>
        </w:rPr>
        <w:t xml:space="preserve"> woman</w:t>
      </w:r>
      <w:r w:rsidRPr="00380E0D">
        <w:rPr>
          <w:sz w:val="24"/>
          <w:szCs w:val="24"/>
        </w:rPr>
        <w:t xml:space="preserve"> who is sexually attracted to women, and so</w:t>
      </w:r>
      <w:r w:rsidR="00A94A85" w:rsidRPr="00380E0D">
        <w:rPr>
          <w:sz w:val="24"/>
          <w:szCs w:val="24"/>
        </w:rPr>
        <w:t>,</w:t>
      </w:r>
      <w:r w:rsidRPr="00380E0D">
        <w:rPr>
          <w:sz w:val="24"/>
          <w:szCs w:val="24"/>
        </w:rPr>
        <w:t xml:space="preserve"> as a</w:t>
      </w:r>
      <w:r w:rsidR="00526E24" w:rsidRPr="00380E0D">
        <w:rPr>
          <w:sz w:val="24"/>
          <w:szCs w:val="24"/>
        </w:rPr>
        <w:t xml:space="preserve"> matter of law under the </w:t>
      </w:r>
      <w:proofErr w:type="spellStart"/>
      <w:r w:rsidR="00526E24" w:rsidRPr="00380E0D">
        <w:rPr>
          <w:sz w:val="24"/>
          <w:szCs w:val="24"/>
        </w:rPr>
        <w:t>EqA</w:t>
      </w:r>
      <w:proofErr w:type="spellEnd"/>
      <w:r w:rsidR="00A94A85" w:rsidRPr="00380E0D">
        <w:rPr>
          <w:sz w:val="24"/>
          <w:szCs w:val="24"/>
        </w:rPr>
        <w:t>,</w:t>
      </w:r>
      <w:r w:rsidR="00526E24" w:rsidRPr="00380E0D">
        <w:rPr>
          <w:sz w:val="24"/>
          <w:szCs w:val="24"/>
        </w:rPr>
        <w:t xml:space="preserve"> a</w:t>
      </w:r>
      <w:r w:rsidRPr="00380E0D">
        <w:rPr>
          <w:sz w:val="24"/>
          <w:szCs w:val="24"/>
        </w:rPr>
        <w:t xml:space="preserve"> lesbian</w:t>
      </w:r>
      <w:r w:rsidR="00A94A85" w:rsidRPr="00380E0D">
        <w:rPr>
          <w:sz w:val="24"/>
          <w:szCs w:val="24"/>
        </w:rPr>
        <w:t xml:space="preserve"> (a person with the protected characteristic of sexual orientation towards persons of the same sex:  s. 12(1)(a))</w:t>
      </w:r>
      <w:r w:rsidRPr="00380E0D">
        <w:rPr>
          <w:sz w:val="24"/>
          <w:szCs w:val="24"/>
        </w:rPr>
        <w:t xml:space="preserve">.  </w:t>
      </w:r>
      <w:r w:rsidR="00D53764" w:rsidRPr="00380E0D">
        <w:rPr>
          <w:sz w:val="24"/>
          <w:szCs w:val="24"/>
        </w:rPr>
        <w:t>The legal consequence</w:t>
      </w:r>
      <w:r w:rsidR="00107187" w:rsidRPr="00380E0D">
        <w:rPr>
          <w:sz w:val="24"/>
          <w:szCs w:val="24"/>
        </w:rPr>
        <w:t>s</w:t>
      </w:r>
      <w:r w:rsidR="00DA60B0">
        <w:rPr>
          <w:sz w:val="24"/>
          <w:szCs w:val="24"/>
        </w:rPr>
        <w:t xml:space="preserve"> of that</w:t>
      </w:r>
      <w:r w:rsidR="00D53764" w:rsidRPr="00380E0D">
        <w:rPr>
          <w:sz w:val="24"/>
          <w:szCs w:val="24"/>
        </w:rPr>
        <w:t xml:space="preserve"> </w:t>
      </w:r>
      <w:r w:rsidR="00EB376F" w:rsidRPr="00380E0D">
        <w:rPr>
          <w:sz w:val="24"/>
          <w:szCs w:val="24"/>
        </w:rPr>
        <w:t xml:space="preserve">include </w:t>
      </w:r>
      <w:r w:rsidR="00D53764" w:rsidRPr="00380E0D">
        <w:rPr>
          <w:sz w:val="24"/>
          <w:szCs w:val="24"/>
        </w:rPr>
        <w:t xml:space="preserve">that </w:t>
      </w:r>
      <w:r w:rsidR="00B4179E" w:rsidRPr="00380E0D">
        <w:rPr>
          <w:sz w:val="24"/>
          <w:szCs w:val="24"/>
        </w:rPr>
        <w:t xml:space="preserve">certain </w:t>
      </w:r>
      <w:r w:rsidR="00526E24" w:rsidRPr="00380E0D">
        <w:rPr>
          <w:sz w:val="24"/>
          <w:szCs w:val="24"/>
        </w:rPr>
        <w:t>exceptions</w:t>
      </w:r>
      <w:r w:rsidR="00493428" w:rsidRPr="00380E0D">
        <w:rPr>
          <w:sz w:val="24"/>
          <w:szCs w:val="24"/>
        </w:rPr>
        <w:t xml:space="preserve"> </w:t>
      </w:r>
      <w:r w:rsidR="00B4179E" w:rsidRPr="00380E0D">
        <w:rPr>
          <w:sz w:val="24"/>
          <w:szCs w:val="24"/>
        </w:rPr>
        <w:t xml:space="preserve">within the </w:t>
      </w:r>
      <w:proofErr w:type="spellStart"/>
      <w:r w:rsidR="00B4179E" w:rsidRPr="00380E0D">
        <w:rPr>
          <w:sz w:val="24"/>
          <w:szCs w:val="24"/>
        </w:rPr>
        <w:t>EqA</w:t>
      </w:r>
      <w:proofErr w:type="spellEnd"/>
      <w:r w:rsidR="00B4179E" w:rsidRPr="00380E0D">
        <w:rPr>
          <w:sz w:val="24"/>
          <w:szCs w:val="24"/>
        </w:rPr>
        <w:t xml:space="preserve"> </w:t>
      </w:r>
      <w:r w:rsidR="00DB6936" w:rsidRPr="00380E0D">
        <w:rPr>
          <w:sz w:val="24"/>
          <w:szCs w:val="24"/>
        </w:rPr>
        <w:t>cannot</w:t>
      </w:r>
      <w:r w:rsidR="00692560" w:rsidRPr="00380E0D">
        <w:rPr>
          <w:sz w:val="24"/>
          <w:szCs w:val="24"/>
        </w:rPr>
        <w:t xml:space="preserve"> be relied upon by those who are same sex attracted unless they are willing to include those with a GRC. For example, a lesbian students club</w:t>
      </w:r>
      <w:r w:rsidR="0031465B" w:rsidRPr="00380E0D">
        <w:rPr>
          <w:sz w:val="24"/>
          <w:szCs w:val="24"/>
        </w:rPr>
        <w:t xml:space="preserve"> (</w:t>
      </w:r>
      <w:r w:rsidR="00083913" w:rsidRPr="00380E0D">
        <w:rPr>
          <w:sz w:val="24"/>
          <w:szCs w:val="24"/>
        </w:rPr>
        <w:t>that</w:t>
      </w:r>
      <w:r w:rsidR="0031465B" w:rsidRPr="00380E0D">
        <w:rPr>
          <w:sz w:val="24"/>
          <w:szCs w:val="24"/>
        </w:rPr>
        <w:t xml:space="preserve"> </w:t>
      </w:r>
      <w:r w:rsidR="00A60B38" w:rsidRPr="00380E0D">
        <w:rPr>
          <w:sz w:val="24"/>
          <w:szCs w:val="24"/>
        </w:rPr>
        <w:t>meets</w:t>
      </w:r>
      <w:r w:rsidR="0031465B" w:rsidRPr="00380E0D">
        <w:rPr>
          <w:sz w:val="24"/>
          <w:szCs w:val="24"/>
        </w:rPr>
        <w:t xml:space="preserve"> the definition of an association under s.107 </w:t>
      </w:r>
      <w:proofErr w:type="spellStart"/>
      <w:r w:rsidR="0031465B" w:rsidRPr="00380E0D">
        <w:rPr>
          <w:sz w:val="24"/>
          <w:szCs w:val="24"/>
        </w:rPr>
        <w:t>EqA</w:t>
      </w:r>
      <w:proofErr w:type="spellEnd"/>
      <w:r w:rsidR="0031465B" w:rsidRPr="00380E0D">
        <w:rPr>
          <w:sz w:val="24"/>
          <w:szCs w:val="24"/>
        </w:rPr>
        <w:t>)</w:t>
      </w:r>
      <w:r w:rsidR="00692560" w:rsidRPr="00380E0D">
        <w:rPr>
          <w:sz w:val="24"/>
          <w:szCs w:val="24"/>
        </w:rPr>
        <w:t xml:space="preserve"> could not lawfully exclude a </w:t>
      </w:r>
      <w:r w:rsidR="00A60B38" w:rsidRPr="00380E0D">
        <w:rPr>
          <w:sz w:val="24"/>
          <w:szCs w:val="24"/>
        </w:rPr>
        <w:t>trans</w:t>
      </w:r>
      <w:r w:rsidR="0030576D" w:rsidRPr="00380E0D">
        <w:rPr>
          <w:sz w:val="24"/>
          <w:szCs w:val="24"/>
        </w:rPr>
        <w:t xml:space="preserve"> </w:t>
      </w:r>
      <w:r w:rsidR="00A60B38" w:rsidRPr="00380E0D">
        <w:rPr>
          <w:sz w:val="24"/>
          <w:szCs w:val="24"/>
        </w:rPr>
        <w:t>woman</w:t>
      </w:r>
      <w:r w:rsidR="00DB6936" w:rsidRPr="00380E0D">
        <w:rPr>
          <w:sz w:val="24"/>
          <w:szCs w:val="24"/>
        </w:rPr>
        <w:t xml:space="preserve"> </w:t>
      </w:r>
      <w:r w:rsidR="00692560" w:rsidRPr="00380E0D">
        <w:rPr>
          <w:sz w:val="24"/>
          <w:szCs w:val="24"/>
        </w:rPr>
        <w:t>with a GRC</w:t>
      </w:r>
      <w:r w:rsidR="00DB6936" w:rsidRPr="00380E0D">
        <w:rPr>
          <w:sz w:val="24"/>
          <w:szCs w:val="24"/>
        </w:rPr>
        <w:t>, and so a “</w:t>
      </w:r>
      <w:r w:rsidR="00DB6936" w:rsidRPr="00380E0D">
        <w:rPr>
          <w:i/>
          <w:iCs/>
          <w:sz w:val="24"/>
          <w:szCs w:val="24"/>
        </w:rPr>
        <w:t>woman</w:t>
      </w:r>
      <w:r w:rsidR="00DB6936" w:rsidRPr="00380E0D">
        <w:rPr>
          <w:sz w:val="24"/>
          <w:szCs w:val="24"/>
        </w:rPr>
        <w:t>”,</w:t>
      </w:r>
      <w:r w:rsidR="00692560" w:rsidRPr="00380E0D">
        <w:rPr>
          <w:sz w:val="24"/>
          <w:szCs w:val="24"/>
        </w:rPr>
        <w:t xml:space="preserve"> who was attracted to women</w:t>
      </w:r>
      <w:r w:rsidR="0031465B" w:rsidRPr="00380E0D">
        <w:rPr>
          <w:sz w:val="24"/>
          <w:szCs w:val="24"/>
        </w:rPr>
        <w:t xml:space="preserve">. </w:t>
      </w:r>
      <w:r w:rsidR="00083913" w:rsidRPr="00380E0D">
        <w:rPr>
          <w:sz w:val="24"/>
          <w:szCs w:val="24"/>
        </w:rPr>
        <w:t>§1</w:t>
      </w:r>
      <w:r w:rsidR="00A60B38" w:rsidRPr="00380E0D">
        <w:rPr>
          <w:sz w:val="24"/>
          <w:szCs w:val="24"/>
        </w:rPr>
        <w:t>(1)</w:t>
      </w:r>
      <w:r w:rsidR="00083913" w:rsidRPr="00380E0D">
        <w:rPr>
          <w:sz w:val="24"/>
          <w:szCs w:val="24"/>
        </w:rPr>
        <w:t xml:space="preserve"> of Sch. 16 permits the club to restrict membership to those who share the protected characteristic of same sex orientation</w:t>
      </w:r>
      <w:r w:rsidR="00A60B38" w:rsidRPr="00380E0D">
        <w:rPr>
          <w:sz w:val="24"/>
          <w:szCs w:val="24"/>
        </w:rPr>
        <w:t xml:space="preserve"> but in this case the likely analysis is that a person who shares that characteristic has nevertheless been (unlawfully) excluded on grounds of their gender reassignment.</w:t>
      </w:r>
      <w:r w:rsidR="00DA60B0">
        <w:rPr>
          <w:sz w:val="24"/>
          <w:szCs w:val="24"/>
        </w:rPr>
        <w:t xml:space="preserve">  It is </w:t>
      </w:r>
      <w:r w:rsidR="00DA60B0" w:rsidRPr="00536BFF">
        <w:rPr>
          <w:sz w:val="24"/>
          <w:szCs w:val="24"/>
        </w:rPr>
        <w:t xml:space="preserve">deeply problematic, and unfair, that </w:t>
      </w:r>
      <w:r w:rsidR="001E43C9" w:rsidRPr="00536BFF">
        <w:rPr>
          <w:sz w:val="24"/>
          <w:szCs w:val="24"/>
        </w:rPr>
        <w:t xml:space="preserve">lesbians and gay men for whom the biological aspect of their same sex attraction is defining may be precluded from forming (and maintaining the integrity of) an association, when those with another shared protected characteristic are not. </w:t>
      </w:r>
    </w:p>
    <w:p w14:paraId="53F3DFEB" w14:textId="77777777" w:rsidR="00427756" w:rsidRPr="00536BFF" w:rsidRDefault="00427756" w:rsidP="00973C55">
      <w:pPr>
        <w:spacing w:line="360" w:lineRule="auto"/>
        <w:jc w:val="both"/>
        <w:rPr>
          <w:i/>
          <w:iCs/>
          <w:sz w:val="24"/>
          <w:szCs w:val="24"/>
          <w:u w:val="single"/>
        </w:rPr>
      </w:pPr>
    </w:p>
    <w:p w14:paraId="34FF68B8" w14:textId="0F7EDE47" w:rsidR="001D6798" w:rsidRPr="00536BFF" w:rsidRDefault="00074E3F" w:rsidP="003606C0">
      <w:pPr>
        <w:pStyle w:val="Heading3"/>
        <w:rPr>
          <w:sz w:val="24"/>
          <w:szCs w:val="24"/>
        </w:rPr>
      </w:pPr>
      <w:r w:rsidRPr="00536BFF">
        <w:rPr>
          <w:sz w:val="24"/>
          <w:szCs w:val="24"/>
        </w:rPr>
        <w:t xml:space="preserve">(iii) </w:t>
      </w:r>
      <w:r w:rsidR="001D6798" w:rsidRPr="00536BFF">
        <w:rPr>
          <w:sz w:val="24"/>
          <w:szCs w:val="24"/>
        </w:rPr>
        <w:t xml:space="preserve">Effect of a GRC on §§26-28 of </w:t>
      </w:r>
      <w:r w:rsidR="006873AB" w:rsidRPr="00536BFF">
        <w:rPr>
          <w:sz w:val="24"/>
          <w:szCs w:val="24"/>
        </w:rPr>
        <w:t xml:space="preserve">Sch. </w:t>
      </w:r>
      <w:r w:rsidR="001D6798" w:rsidRPr="00536BFF">
        <w:rPr>
          <w:sz w:val="24"/>
          <w:szCs w:val="24"/>
        </w:rPr>
        <w:t xml:space="preserve">3 </w:t>
      </w:r>
      <w:proofErr w:type="spellStart"/>
      <w:r w:rsidR="001D6798" w:rsidRPr="00536BFF">
        <w:rPr>
          <w:sz w:val="24"/>
          <w:szCs w:val="24"/>
        </w:rPr>
        <w:t>EqA</w:t>
      </w:r>
      <w:proofErr w:type="spellEnd"/>
      <w:r w:rsidR="001D6798" w:rsidRPr="00536BFF">
        <w:rPr>
          <w:sz w:val="24"/>
          <w:szCs w:val="24"/>
        </w:rPr>
        <w:t xml:space="preserve"> (“single sex services”)</w:t>
      </w:r>
    </w:p>
    <w:p w14:paraId="260AECCE" w14:textId="55FB46A3" w:rsidR="005E4916" w:rsidRPr="00380E0D" w:rsidRDefault="0030576D" w:rsidP="00AC37B4">
      <w:pPr>
        <w:pStyle w:val="ListParagraph"/>
        <w:numPr>
          <w:ilvl w:val="0"/>
          <w:numId w:val="1"/>
        </w:numPr>
        <w:spacing w:line="360" w:lineRule="auto"/>
        <w:jc w:val="both"/>
        <w:rPr>
          <w:sz w:val="24"/>
          <w:szCs w:val="24"/>
        </w:rPr>
      </w:pPr>
      <w:bookmarkStart w:id="7" w:name="_Ref179719438"/>
      <w:r w:rsidRPr="00536BFF">
        <w:rPr>
          <w:sz w:val="24"/>
          <w:szCs w:val="24"/>
        </w:rPr>
        <w:t>§§</w:t>
      </w:r>
      <w:r w:rsidR="001D6798" w:rsidRPr="00536BFF">
        <w:rPr>
          <w:sz w:val="24"/>
          <w:szCs w:val="24"/>
        </w:rPr>
        <w:t>26-28</w:t>
      </w:r>
      <w:r w:rsidRPr="00536BFF">
        <w:rPr>
          <w:sz w:val="24"/>
          <w:szCs w:val="24"/>
        </w:rPr>
        <w:t xml:space="preserve"> of</w:t>
      </w:r>
      <w:r w:rsidR="001D6798" w:rsidRPr="00536BFF">
        <w:rPr>
          <w:sz w:val="24"/>
          <w:szCs w:val="24"/>
        </w:rPr>
        <w:t xml:space="preserve"> Sch</w:t>
      </w:r>
      <w:r w:rsidRPr="00536BFF">
        <w:rPr>
          <w:sz w:val="24"/>
          <w:szCs w:val="24"/>
        </w:rPr>
        <w:t>.</w:t>
      </w:r>
      <w:r w:rsidR="001D6798" w:rsidRPr="00536BFF">
        <w:rPr>
          <w:sz w:val="24"/>
          <w:szCs w:val="24"/>
        </w:rPr>
        <w:t xml:space="preserve"> 3 establish exemptions to allow for the operation of single sex services. </w:t>
      </w:r>
      <w:r w:rsidR="00B3340A" w:rsidRPr="00536BFF">
        <w:rPr>
          <w:sz w:val="24"/>
          <w:szCs w:val="24"/>
        </w:rPr>
        <w:t xml:space="preserve"> </w:t>
      </w:r>
      <w:r w:rsidR="001D6798" w:rsidRPr="00536BFF">
        <w:rPr>
          <w:sz w:val="24"/>
          <w:szCs w:val="24"/>
        </w:rPr>
        <w:t xml:space="preserve"> </w:t>
      </w:r>
      <w:r w:rsidR="005E4916" w:rsidRPr="00536BFF">
        <w:rPr>
          <w:sz w:val="24"/>
          <w:szCs w:val="24"/>
        </w:rPr>
        <w:t xml:space="preserve">These provisions are critical for maintaining the availability of women-only spaces, including changing rooms, or segregated swimming areas, which are considered significant by some women and </w:t>
      </w:r>
      <w:proofErr w:type="gramStart"/>
      <w:r w:rsidR="005E4916" w:rsidRPr="00536BFF">
        <w:rPr>
          <w:sz w:val="24"/>
          <w:szCs w:val="24"/>
        </w:rPr>
        <w:t>absolutely essential</w:t>
      </w:r>
      <w:proofErr w:type="gramEnd"/>
      <w:r w:rsidR="005E4916" w:rsidRPr="00536BFF">
        <w:rPr>
          <w:sz w:val="24"/>
          <w:szCs w:val="24"/>
        </w:rPr>
        <w:t>, for example for religious reasons, by others. It is necessary to understand how §§26-28 operate in practice when a women-only space is sought to be accessed by (a)</w:t>
      </w:r>
      <w:r w:rsidR="005E4916" w:rsidRPr="00380E0D">
        <w:rPr>
          <w:sz w:val="24"/>
          <w:szCs w:val="24"/>
        </w:rPr>
        <w:t xml:space="preserve"> a trans</w:t>
      </w:r>
      <w:r w:rsidR="00B3340A" w:rsidRPr="00380E0D">
        <w:rPr>
          <w:sz w:val="24"/>
          <w:szCs w:val="24"/>
        </w:rPr>
        <w:t xml:space="preserve"> </w:t>
      </w:r>
      <w:r w:rsidR="005E4916" w:rsidRPr="00380E0D">
        <w:rPr>
          <w:sz w:val="24"/>
          <w:szCs w:val="24"/>
        </w:rPr>
        <w:t>woman who has been issued with a GRC, and (b) a man (including a trans</w:t>
      </w:r>
      <w:r w:rsidR="00B3340A" w:rsidRPr="00380E0D">
        <w:rPr>
          <w:sz w:val="24"/>
          <w:szCs w:val="24"/>
        </w:rPr>
        <w:t xml:space="preserve"> </w:t>
      </w:r>
      <w:r w:rsidR="005E4916" w:rsidRPr="00380E0D">
        <w:rPr>
          <w:sz w:val="24"/>
          <w:szCs w:val="24"/>
        </w:rPr>
        <w:t>woman who has not been issued with a GRC).</w:t>
      </w:r>
      <w:bookmarkEnd w:id="7"/>
      <w:r w:rsidR="00AC37B4" w:rsidRPr="00380E0D">
        <w:rPr>
          <w:sz w:val="24"/>
          <w:szCs w:val="24"/>
        </w:rPr>
        <w:t xml:space="preserve">  </w:t>
      </w:r>
      <w:r w:rsidR="005E4916" w:rsidRPr="00380E0D">
        <w:rPr>
          <w:sz w:val="24"/>
          <w:szCs w:val="24"/>
        </w:rPr>
        <w:t>As to (a), the position of a trans</w:t>
      </w:r>
      <w:r w:rsidR="00653934" w:rsidRPr="00380E0D">
        <w:rPr>
          <w:sz w:val="24"/>
          <w:szCs w:val="24"/>
        </w:rPr>
        <w:t xml:space="preserve"> </w:t>
      </w:r>
      <w:r w:rsidR="005E4916" w:rsidRPr="00380E0D">
        <w:rPr>
          <w:sz w:val="24"/>
          <w:szCs w:val="24"/>
        </w:rPr>
        <w:t xml:space="preserve">woman </w:t>
      </w:r>
      <w:r w:rsidR="00653934" w:rsidRPr="00380E0D">
        <w:rPr>
          <w:sz w:val="24"/>
          <w:szCs w:val="24"/>
        </w:rPr>
        <w:t>with a</w:t>
      </w:r>
      <w:r w:rsidR="005E4916" w:rsidRPr="00380E0D">
        <w:rPr>
          <w:sz w:val="24"/>
          <w:szCs w:val="24"/>
        </w:rPr>
        <w:t xml:space="preserve"> GRC, the Commission’s view is as follows:</w:t>
      </w:r>
    </w:p>
    <w:p w14:paraId="0CE3B933" w14:textId="77777777" w:rsidR="00DA60B0" w:rsidRDefault="00DA60B0" w:rsidP="00FB40E9">
      <w:pPr>
        <w:pStyle w:val="ListParagraph"/>
        <w:spacing w:line="360" w:lineRule="auto"/>
        <w:ind w:left="851"/>
        <w:jc w:val="both"/>
        <w:rPr>
          <w:sz w:val="24"/>
          <w:szCs w:val="24"/>
        </w:rPr>
      </w:pPr>
    </w:p>
    <w:p w14:paraId="0C2B7008" w14:textId="6FA0F4FE" w:rsidR="005E4916" w:rsidRPr="00380E0D" w:rsidRDefault="005E4916" w:rsidP="00653934">
      <w:pPr>
        <w:pStyle w:val="ListParagraph"/>
        <w:numPr>
          <w:ilvl w:val="1"/>
          <w:numId w:val="1"/>
        </w:numPr>
        <w:spacing w:line="360" w:lineRule="auto"/>
        <w:jc w:val="both"/>
        <w:rPr>
          <w:sz w:val="24"/>
          <w:szCs w:val="24"/>
        </w:rPr>
      </w:pPr>
      <w:r w:rsidRPr="00380E0D">
        <w:rPr>
          <w:sz w:val="24"/>
          <w:szCs w:val="24"/>
        </w:rPr>
        <w:lastRenderedPageBreak/>
        <w:t>§§26-27 of Sch</w:t>
      </w:r>
      <w:r w:rsidR="00AD0435" w:rsidRPr="00380E0D">
        <w:rPr>
          <w:sz w:val="24"/>
          <w:szCs w:val="24"/>
        </w:rPr>
        <w:t xml:space="preserve">. </w:t>
      </w:r>
      <w:r w:rsidRPr="00380E0D">
        <w:rPr>
          <w:sz w:val="24"/>
          <w:szCs w:val="24"/>
        </w:rPr>
        <w:t xml:space="preserve">3 </w:t>
      </w:r>
      <w:proofErr w:type="spellStart"/>
      <w:r w:rsidRPr="00380E0D">
        <w:rPr>
          <w:sz w:val="24"/>
          <w:szCs w:val="24"/>
        </w:rPr>
        <w:t>EqA</w:t>
      </w:r>
      <w:proofErr w:type="spellEnd"/>
      <w:r w:rsidRPr="00380E0D">
        <w:rPr>
          <w:sz w:val="24"/>
          <w:szCs w:val="24"/>
        </w:rPr>
        <w:t xml:space="preserve"> contain exceptions to the prohibition by s.29 read with s.11 </w:t>
      </w:r>
      <w:proofErr w:type="spellStart"/>
      <w:r w:rsidRPr="00380E0D">
        <w:rPr>
          <w:sz w:val="24"/>
          <w:szCs w:val="24"/>
        </w:rPr>
        <w:t>EqA</w:t>
      </w:r>
      <w:proofErr w:type="spellEnd"/>
      <w:r w:rsidRPr="00380E0D">
        <w:rPr>
          <w:sz w:val="24"/>
          <w:szCs w:val="24"/>
        </w:rPr>
        <w:t xml:space="preserve"> of sex discrimination in the provision of services.</w:t>
      </w:r>
    </w:p>
    <w:p w14:paraId="7975AA89" w14:textId="77777777" w:rsidR="005E4916" w:rsidRPr="00380E0D" w:rsidRDefault="005E4916" w:rsidP="00A75FA7">
      <w:pPr>
        <w:pStyle w:val="ListParagraph"/>
        <w:spacing w:line="360" w:lineRule="auto"/>
        <w:jc w:val="both"/>
        <w:rPr>
          <w:sz w:val="24"/>
          <w:szCs w:val="24"/>
        </w:rPr>
      </w:pPr>
    </w:p>
    <w:p w14:paraId="321C3C7C" w14:textId="2F1A1A80" w:rsidR="005E4916" w:rsidRPr="00380E0D" w:rsidRDefault="005E4916" w:rsidP="00653934">
      <w:pPr>
        <w:pStyle w:val="ListParagraph"/>
        <w:numPr>
          <w:ilvl w:val="1"/>
          <w:numId w:val="1"/>
        </w:numPr>
        <w:spacing w:line="360" w:lineRule="auto"/>
        <w:jc w:val="both"/>
        <w:rPr>
          <w:sz w:val="24"/>
          <w:szCs w:val="24"/>
        </w:rPr>
      </w:pPr>
      <w:bookmarkStart w:id="8" w:name="_Hlk175742291"/>
      <w:r w:rsidRPr="00380E0D">
        <w:rPr>
          <w:sz w:val="24"/>
          <w:szCs w:val="24"/>
        </w:rPr>
        <w:t xml:space="preserve">As a result of s.9 GRA, a person who has been issued with a GRC is to be treated for the purposes of s.29, and the exceptions to it, as having their acquired gender. </w:t>
      </w:r>
    </w:p>
    <w:p w14:paraId="00493E7D" w14:textId="77777777" w:rsidR="005E4916" w:rsidRPr="00380E0D" w:rsidRDefault="005E4916" w:rsidP="00A75FA7">
      <w:pPr>
        <w:pStyle w:val="ListParagraph"/>
        <w:spacing w:line="360" w:lineRule="auto"/>
        <w:jc w:val="both"/>
        <w:rPr>
          <w:sz w:val="24"/>
          <w:szCs w:val="24"/>
        </w:rPr>
      </w:pPr>
    </w:p>
    <w:p w14:paraId="14EEE1EF" w14:textId="77777777" w:rsidR="005E4916" w:rsidRPr="00380E0D" w:rsidRDefault="005E4916" w:rsidP="00653934">
      <w:pPr>
        <w:pStyle w:val="ListParagraph"/>
        <w:numPr>
          <w:ilvl w:val="1"/>
          <w:numId w:val="1"/>
        </w:numPr>
        <w:spacing w:line="360" w:lineRule="auto"/>
        <w:jc w:val="both"/>
        <w:rPr>
          <w:sz w:val="24"/>
          <w:szCs w:val="24"/>
        </w:rPr>
      </w:pPr>
      <w:r w:rsidRPr="00380E0D">
        <w:rPr>
          <w:sz w:val="24"/>
          <w:szCs w:val="24"/>
        </w:rPr>
        <w:t xml:space="preserve">If such a person is refused access to services on the grounds that they are intended for women only, they have not suffered sex discrimination. They have been treated differently as compared with others whose sex is female. Therefore, the exceptions in §§26-27 </w:t>
      </w:r>
      <w:proofErr w:type="spellStart"/>
      <w:r w:rsidRPr="00380E0D">
        <w:rPr>
          <w:sz w:val="24"/>
          <w:szCs w:val="24"/>
        </w:rPr>
        <w:t>EqA</w:t>
      </w:r>
      <w:proofErr w:type="spellEnd"/>
      <w:r w:rsidRPr="00380E0D">
        <w:rPr>
          <w:sz w:val="24"/>
          <w:szCs w:val="24"/>
        </w:rPr>
        <w:t xml:space="preserve"> are not engaged.</w:t>
      </w:r>
    </w:p>
    <w:p w14:paraId="2B5E3ADC" w14:textId="77777777" w:rsidR="005E4916" w:rsidRPr="00380E0D" w:rsidRDefault="005E4916" w:rsidP="00A75FA7">
      <w:pPr>
        <w:pStyle w:val="ListParagraph"/>
        <w:spacing w:line="360" w:lineRule="auto"/>
        <w:jc w:val="both"/>
        <w:rPr>
          <w:sz w:val="24"/>
          <w:szCs w:val="24"/>
        </w:rPr>
      </w:pPr>
    </w:p>
    <w:p w14:paraId="548C09D0" w14:textId="5D0D73BE" w:rsidR="0030576D" w:rsidRPr="00380E0D" w:rsidRDefault="005E4916" w:rsidP="00653934">
      <w:pPr>
        <w:pStyle w:val="ListParagraph"/>
        <w:numPr>
          <w:ilvl w:val="1"/>
          <w:numId w:val="1"/>
        </w:numPr>
        <w:spacing w:line="360" w:lineRule="auto"/>
        <w:jc w:val="both"/>
        <w:rPr>
          <w:sz w:val="24"/>
          <w:szCs w:val="24"/>
        </w:rPr>
      </w:pPr>
      <w:r w:rsidRPr="00380E0D">
        <w:rPr>
          <w:sz w:val="24"/>
          <w:szCs w:val="24"/>
        </w:rPr>
        <w:t xml:space="preserve">That person may have suffered discrimination on grounds of gender reassignment, if a </w:t>
      </w:r>
      <w:r w:rsidR="00A15CC3" w:rsidRPr="00380E0D">
        <w:rPr>
          <w:sz w:val="24"/>
          <w:szCs w:val="24"/>
        </w:rPr>
        <w:t xml:space="preserve">natal </w:t>
      </w:r>
      <w:r w:rsidRPr="00380E0D">
        <w:rPr>
          <w:sz w:val="24"/>
          <w:szCs w:val="24"/>
        </w:rPr>
        <w:t xml:space="preserve">woman would not have been refused access to the relevant services. Such discrimination is capable of justification pursuant to §28 of </w:t>
      </w:r>
      <w:r w:rsidR="006F49F6" w:rsidRPr="00380E0D">
        <w:rPr>
          <w:sz w:val="24"/>
          <w:szCs w:val="24"/>
        </w:rPr>
        <w:t xml:space="preserve">Sch. </w:t>
      </w:r>
      <w:r w:rsidRPr="00380E0D">
        <w:rPr>
          <w:sz w:val="24"/>
          <w:szCs w:val="24"/>
        </w:rPr>
        <w:t>3, if it is “</w:t>
      </w:r>
      <w:r w:rsidRPr="00380E0D">
        <w:rPr>
          <w:i/>
          <w:iCs/>
          <w:sz w:val="24"/>
          <w:szCs w:val="24"/>
        </w:rPr>
        <w:t>a proportionate means of achieving a legitimate aim</w:t>
      </w:r>
      <w:r w:rsidRPr="00380E0D">
        <w:rPr>
          <w:sz w:val="24"/>
          <w:szCs w:val="24"/>
        </w:rPr>
        <w:t>”.</w:t>
      </w:r>
    </w:p>
    <w:p w14:paraId="1B615678" w14:textId="77777777" w:rsidR="0030576D" w:rsidRPr="00380E0D" w:rsidRDefault="0030576D" w:rsidP="0030576D">
      <w:pPr>
        <w:pStyle w:val="ListParagraph"/>
        <w:rPr>
          <w:sz w:val="24"/>
          <w:szCs w:val="24"/>
        </w:rPr>
      </w:pPr>
    </w:p>
    <w:p w14:paraId="5904D222" w14:textId="539A7070" w:rsidR="005E4916" w:rsidRPr="00380E0D" w:rsidRDefault="005E4916" w:rsidP="00653934">
      <w:pPr>
        <w:pStyle w:val="ListParagraph"/>
        <w:numPr>
          <w:ilvl w:val="1"/>
          <w:numId w:val="1"/>
        </w:numPr>
        <w:spacing w:line="360" w:lineRule="auto"/>
        <w:jc w:val="both"/>
        <w:rPr>
          <w:sz w:val="24"/>
          <w:szCs w:val="24"/>
        </w:rPr>
      </w:pPr>
      <w:r w:rsidRPr="00380E0D">
        <w:rPr>
          <w:sz w:val="24"/>
          <w:szCs w:val="24"/>
        </w:rPr>
        <w:t xml:space="preserve">The Appellant is wrong to suggest </w:t>
      </w:r>
      <w:r w:rsidR="0094227E" w:rsidRPr="00380E0D">
        <w:rPr>
          <w:sz w:val="24"/>
          <w:szCs w:val="24"/>
        </w:rPr>
        <w:t>[</w:t>
      </w:r>
      <w:r w:rsidR="0030576D" w:rsidRPr="00380E0D">
        <w:rPr>
          <w:sz w:val="24"/>
          <w:szCs w:val="24"/>
        </w:rPr>
        <w:t>AC§</w:t>
      </w:r>
      <w:r w:rsidR="00AD0435" w:rsidRPr="00380E0D">
        <w:rPr>
          <w:sz w:val="24"/>
          <w:szCs w:val="24"/>
        </w:rPr>
        <w:t>89(2)</w:t>
      </w:r>
      <w:r w:rsidR="008155E8">
        <w:rPr>
          <w:sz w:val="24"/>
          <w:szCs w:val="24"/>
        </w:rPr>
        <w:t xml:space="preserve"> </w:t>
      </w:r>
      <w:r w:rsidR="008155E8" w:rsidRPr="008155E8">
        <w:rPr>
          <w:color w:val="FF0000"/>
          <w:sz w:val="24"/>
          <w:szCs w:val="24"/>
        </w:rPr>
        <w:t>EF</w:t>
      </w:r>
      <w:r w:rsidR="003706F3">
        <w:rPr>
          <w:color w:val="FF0000"/>
          <w:sz w:val="24"/>
          <w:szCs w:val="24"/>
        </w:rPr>
        <w:t>.1</w:t>
      </w:r>
      <w:r w:rsidR="00565023">
        <w:rPr>
          <w:color w:val="FF0000"/>
          <w:sz w:val="24"/>
          <w:szCs w:val="24"/>
        </w:rPr>
        <w:t>90</w:t>
      </w:r>
      <w:r w:rsidR="0094227E" w:rsidRPr="00380E0D">
        <w:rPr>
          <w:sz w:val="24"/>
          <w:szCs w:val="24"/>
        </w:rPr>
        <w:t>]</w:t>
      </w:r>
      <w:r w:rsidRPr="00380E0D">
        <w:rPr>
          <w:sz w:val="24"/>
          <w:szCs w:val="24"/>
        </w:rPr>
        <w:t xml:space="preserve"> that §28 of Sch</w:t>
      </w:r>
      <w:r w:rsidR="0030576D" w:rsidRPr="00380E0D">
        <w:rPr>
          <w:sz w:val="24"/>
          <w:szCs w:val="24"/>
        </w:rPr>
        <w:t>.</w:t>
      </w:r>
      <w:r w:rsidRPr="00380E0D">
        <w:rPr>
          <w:sz w:val="24"/>
          <w:szCs w:val="24"/>
        </w:rPr>
        <w:t xml:space="preserve"> 3 cannot be relied upon to justify refusal of access to services of a </w:t>
      </w:r>
      <w:r w:rsidR="0030576D" w:rsidRPr="00380E0D">
        <w:rPr>
          <w:sz w:val="24"/>
          <w:szCs w:val="24"/>
        </w:rPr>
        <w:t xml:space="preserve">trans </w:t>
      </w:r>
      <w:r w:rsidRPr="00380E0D">
        <w:rPr>
          <w:sz w:val="24"/>
          <w:szCs w:val="24"/>
        </w:rPr>
        <w:t xml:space="preserve">woman </w:t>
      </w:r>
      <w:r w:rsidR="006F49F6" w:rsidRPr="00380E0D">
        <w:rPr>
          <w:sz w:val="24"/>
          <w:szCs w:val="24"/>
        </w:rPr>
        <w:t xml:space="preserve">with a </w:t>
      </w:r>
      <w:r w:rsidRPr="00380E0D">
        <w:rPr>
          <w:sz w:val="24"/>
          <w:szCs w:val="24"/>
        </w:rPr>
        <w:t>GRC because the service provider is not doing something “</w:t>
      </w:r>
      <w:r w:rsidRPr="00380E0D">
        <w:rPr>
          <w:i/>
          <w:iCs/>
          <w:sz w:val="24"/>
          <w:szCs w:val="24"/>
        </w:rPr>
        <w:t xml:space="preserve">in relation to </w:t>
      </w:r>
      <w:r w:rsidR="00596477" w:rsidRPr="00380E0D">
        <w:rPr>
          <w:i/>
          <w:iCs/>
          <w:sz w:val="24"/>
          <w:szCs w:val="24"/>
        </w:rPr>
        <w:t>.</w:t>
      </w:r>
      <w:r w:rsidRPr="00380E0D">
        <w:rPr>
          <w:i/>
          <w:iCs/>
          <w:sz w:val="24"/>
          <w:szCs w:val="24"/>
        </w:rPr>
        <w:t>.. the provision of a service only to persons of one sex</w:t>
      </w:r>
      <w:r w:rsidRPr="00380E0D">
        <w:rPr>
          <w:sz w:val="24"/>
          <w:szCs w:val="24"/>
        </w:rPr>
        <w:t>” (§28(2)(c)). A service provider who provides services only to women, but not to trans</w:t>
      </w:r>
      <w:r w:rsidR="0030576D" w:rsidRPr="00380E0D">
        <w:rPr>
          <w:sz w:val="24"/>
          <w:szCs w:val="24"/>
        </w:rPr>
        <w:t xml:space="preserve"> </w:t>
      </w:r>
      <w:r w:rsidRPr="00380E0D">
        <w:rPr>
          <w:sz w:val="24"/>
          <w:szCs w:val="24"/>
        </w:rPr>
        <w:t>women who have been issued with a GRC in the acquired gender of female, is providing services only to persons of one sex, albeit that not all persons of that sex are permitted to access the services. The same would follow if, for example, the service was provided for women over 50: it is a service only for persons of one sex.</w:t>
      </w:r>
    </w:p>
    <w:p w14:paraId="4A25E10D" w14:textId="77777777" w:rsidR="00732120" w:rsidRPr="00380E0D" w:rsidRDefault="00732120" w:rsidP="00732120">
      <w:pPr>
        <w:pStyle w:val="ListParagraph"/>
        <w:rPr>
          <w:sz w:val="24"/>
          <w:szCs w:val="24"/>
        </w:rPr>
      </w:pPr>
    </w:p>
    <w:p w14:paraId="31D81838" w14:textId="266ACC62" w:rsidR="00732120" w:rsidRPr="00380E0D" w:rsidRDefault="00732120" w:rsidP="00653934">
      <w:pPr>
        <w:pStyle w:val="ListParagraph"/>
        <w:numPr>
          <w:ilvl w:val="1"/>
          <w:numId w:val="1"/>
        </w:numPr>
        <w:spacing w:line="360" w:lineRule="auto"/>
        <w:jc w:val="both"/>
        <w:rPr>
          <w:sz w:val="24"/>
          <w:szCs w:val="24"/>
        </w:rPr>
      </w:pPr>
      <w:r w:rsidRPr="00380E0D">
        <w:rPr>
          <w:sz w:val="24"/>
          <w:szCs w:val="24"/>
        </w:rPr>
        <w:t>The Appellant is correct to note</w:t>
      </w:r>
      <w:r w:rsidR="00194265" w:rsidRPr="00380E0D">
        <w:rPr>
          <w:sz w:val="24"/>
          <w:szCs w:val="24"/>
        </w:rPr>
        <w:t xml:space="preserve"> </w:t>
      </w:r>
      <w:r w:rsidR="0094227E" w:rsidRPr="00380E0D">
        <w:rPr>
          <w:sz w:val="24"/>
          <w:szCs w:val="24"/>
        </w:rPr>
        <w:t>[</w:t>
      </w:r>
      <w:r w:rsidR="00194265" w:rsidRPr="00380E0D">
        <w:rPr>
          <w:sz w:val="24"/>
          <w:szCs w:val="24"/>
        </w:rPr>
        <w:t>AC§46</w:t>
      </w:r>
      <w:r w:rsidR="008155E8">
        <w:rPr>
          <w:sz w:val="24"/>
          <w:szCs w:val="24"/>
        </w:rPr>
        <w:t xml:space="preserve"> </w:t>
      </w:r>
      <w:r w:rsidR="008155E8" w:rsidRPr="008155E8">
        <w:rPr>
          <w:color w:val="FF0000"/>
          <w:sz w:val="24"/>
          <w:szCs w:val="24"/>
        </w:rPr>
        <w:t>EF</w:t>
      </w:r>
      <w:r w:rsidR="003706F3">
        <w:rPr>
          <w:color w:val="FF0000"/>
          <w:sz w:val="24"/>
          <w:szCs w:val="24"/>
        </w:rPr>
        <w:t>.1</w:t>
      </w:r>
      <w:r w:rsidR="00565023">
        <w:rPr>
          <w:color w:val="FF0000"/>
          <w:sz w:val="24"/>
          <w:szCs w:val="24"/>
        </w:rPr>
        <w:t>74</w:t>
      </w:r>
      <w:r w:rsidR="0094227E" w:rsidRPr="00380E0D">
        <w:rPr>
          <w:sz w:val="24"/>
          <w:szCs w:val="24"/>
        </w:rPr>
        <w:t>]</w:t>
      </w:r>
      <w:r w:rsidRPr="00380E0D">
        <w:rPr>
          <w:sz w:val="24"/>
          <w:szCs w:val="24"/>
        </w:rPr>
        <w:t xml:space="preserve"> that a single-sex service must exclude persons of that natal sex </w:t>
      </w:r>
      <w:r w:rsidR="006F49F6" w:rsidRPr="00380E0D">
        <w:rPr>
          <w:sz w:val="24"/>
          <w:szCs w:val="24"/>
        </w:rPr>
        <w:t>with a</w:t>
      </w:r>
      <w:r w:rsidRPr="00380E0D">
        <w:rPr>
          <w:sz w:val="24"/>
          <w:szCs w:val="24"/>
        </w:rPr>
        <w:t xml:space="preserve"> GRC, and whose “sex” for the purposes of the </w:t>
      </w:r>
      <w:proofErr w:type="spellStart"/>
      <w:r w:rsidRPr="00380E0D">
        <w:rPr>
          <w:sz w:val="24"/>
          <w:szCs w:val="24"/>
        </w:rPr>
        <w:t>EqA</w:t>
      </w:r>
      <w:proofErr w:type="spellEnd"/>
      <w:r w:rsidRPr="00380E0D">
        <w:rPr>
          <w:sz w:val="24"/>
          <w:szCs w:val="24"/>
        </w:rPr>
        <w:t xml:space="preserve"> is now different</w:t>
      </w:r>
      <w:r w:rsidR="006F49F6" w:rsidRPr="00380E0D">
        <w:rPr>
          <w:sz w:val="24"/>
          <w:szCs w:val="24"/>
        </w:rPr>
        <w:t xml:space="preserve">.  </w:t>
      </w:r>
      <w:r w:rsidR="00DA60B0">
        <w:rPr>
          <w:sz w:val="24"/>
          <w:szCs w:val="24"/>
        </w:rPr>
        <w:t>However, it is clear on the face of the GRA</w:t>
      </w:r>
      <w:r w:rsidRPr="00380E0D">
        <w:rPr>
          <w:sz w:val="24"/>
          <w:szCs w:val="24"/>
        </w:rPr>
        <w:t xml:space="preserve"> that</w:t>
      </w:r>
      <w:r w:rsidR="00DA60B0">
        <w:rPr>
          <w:sz w:val="24"/>
          <w:szCs w:val="24"/>
        </w:rPr>
        <w:t xml:space="preserve"> the grantee of a GRC</w:t>
      </w:r>
      <w:r w:rsidRPr="00380E0D">
        <w:rPr>
          <w:sz w:val="24"/>
          <w:szCs w:val="24"/>
        </w:rPr>
        <w:t xml:space="preserve"> stand</w:t>
      </w:r>
      <w:r w:rsidR="00DA60B0">
        <w:rPr>
          <w:sz w:val="24"/>
          <w:szCs w:val="24"/>
        </w:rPr>
        <w:t>s</w:t>
      </w:r>
      <w:r w:rsidRPr="00380E0D">
        <w:rPr>
          <w:sz w:val="24"/>
          <w:szCs w:val="24"/>
        </w:rPr>
        <w:t xml:space="preserve"> to lose accesses and privileges afforded to persons of their natal sex</w:t>
      </w:r>
      <w:r w:rsidR="00194265" w:rsidRPr="00380E0D">
        <w:rPr>
          <w:sz w:val="24"/>
          <w:szCs w:val="24"/>
        </w:rPr>
        <w:t>, as a result (</w:t>
      </w:r>
      <w:r w:rsidR="00194265" w:rsidRPr="00380E0D">
        <w:rPr>
          <w:i/>
          <w:iCs/>
          <w:sz w:val="24"/>
          <w:szCs w:val="24"/>
        </w:rPr>
        <w:t>inter alia</w:t>
      </w:r>
      <w:r w:rsidR="00194265" w:rsidRPr="00380E0D">
        <w:rPr>
          <w:sz w:val="24"/>
          <w:szCs w:val="24"/>
        </w:rPr>
        <w:t>) of s. 9(1) GRA</w:t>
      </w:r>
      <w:r w:rsidRPr="00380E0D">
        <w:rPr>
          <w:sz w:val="24"/>
          <w:szCs w:val="24"/>
        </w:rPr>
        <w:t xml:space="preserve">.  </w:t>
      </w:r>
    </w:p>
    <w:p w14:paraId="28FE47F5" w14:textId="77777777" w:rsidR="005E4916" w:rsidRPr="00380E0D" w:rsidRDefault="005E4916" w:rsidP="00A75FA7">
      <w:pPr>
        <w:pStyle w:val="ListParagraph"/>
        <w:spacing w:line="360" w:lineRule="auto"/>
        <w:jc w:val="both"/>
        <w:rPr>
          <w:sz w:val="24"/>
          <w:szCs w:val="24"/>
        </w:rPr>
      </w:pPr>
    </w:p>
    <w:p w14:paraId="3E1B412B" w14:textId="7004D056" w:rsidR="005E4916" w:rsidRPr="00380E0D" w:rsidRDefault="00732120" w:rsidP="00A15CC3">
      <w:pPr>
        <w:pStyle w:val="ListParagraph"/>
        <w:numPr>
          <w:ilvl w:val="1"/>
          <w:numId w:val="1"/>
        </w:numPr>
        <w:spacing w:line="360" w:lineRule="auto"/>
        <w:jc w:val="both"/>
        <w:rPr>
          <w:sz w:val="24"/>
          <w:szCs w:val="24"/>
        </w:rPr>
      </w:pPr>
      <w:r w:rsidRPr="00380E0D">
        <w:rPr>
          <w:sz w:val="24"/>
          <w:szCs w:val="24"/>
        </w:rPr>
        <w:t xml:space="preserve">This </w:t>
      </w:r>
      <w:r w:rsidR="005E4916" w:rsidRPr="00380E0D">
        <w:rPr>
          <w:sz w:val="24"/>
          <w:szCs w:val="24"/>
        </w:rPr>
        <w:t>interpretation of §§26-28 of Sch</w:t>
      </w:r>
      <w:r w:rsidR="00320FEB">
        <w:rPr>
          <w:sz w:val="24"/>
          <w:szCs w:val="24"/>
        </w:rPr>
        <w:t>.</w:t>
      </w:r>
      <w:r w:rsidR="005E4916" w:rsidRPr="00380E0D">
        <w:rPr>
          <w:sz w:val="24"/>
          <w:szCs w:val="24"/>
        </w:rPr>
        <w:t xml:space="preserve"> 3 gives rise to practical difficulties in its application. Objective justification under §28, whilst available in theory, can be very challenging in practice</w:t>
      </w:r>
      <w:r w:rsidR="002814F9" w:rsidRPr="00380E0D">
        <w:rPr>
          <w:sz w:val="24"/>
          <w:szCs w:val="24"/>
        </w:rPr>
        <w:t>, particularly if there is a threat of legal proceedings</w:t>
      </w:r>
      <w:r w:rsidR="0030576D" w:rsidRPr="00380E0D">
        <w:rPr>
          <w:sz w:val="24"/>
          <w:szCs w:val="24"/>
        </w:rPr>
        <w:t xml:space="preserve">.  The </w:t>
      </w:r>
      <w:r w:rsidR="005E4916" w:rsidRPr="00380E0D">
        <w:rPr>
          <w:sz w:val="24"/>
          <w:szCs w:val="24"/>
        </w:rPr>
        <w:t>need to establish such justification is a significant deterrent to women-only service provision.</w:t>
      </w:r>
    </w:p>
    <w:p w14:paraId="369FED2E" w14:textId="77777777" w:rsidR="005E4916" w:rsidRPr="00380E0D" w:rsidRDefault="005E4916" w:rsidP="00A75FA7">
      <w:pPr>
        <w:pStyle w:val="ListParagraph"/>
        <w:spacing w:line="360" w:lineRule="auto"/>
        <w:jc w:val="both"/>
        <w:rPr>
          <w:sz w:val="24"/>
          <w:szCs w:val="24"/>
        </w:rPr>
      </w:pPr>
    </w:p>
    <w:p w14:paraId="305AE065" w14:textId="17DA0AE8" w:rsidR="005E4916" w:rsidRPr="00380E0D" w:rsidRDefault="005E4916" w:rsidP="00A75FA7">
      <w:pPr>
        <w:pStyle w:val="ListParagraph"/>
        <w:numPr>
          <w:ilvl w:val="0"/>
          <w:numId w:val="1"/>
        </w:numPr>
        <w:spacing w:line="360" w:lineRule="auto"/>
        <w:jc w:val="both"/>
        <w:rPr>
          <w:sz w:val="24"/>
          <w:szCs w:val="24"/>
        </w:rPr>
      </w:pPr>
      <w:r w:rsidRPr="00380E0D">
        <w:rPr>
          <w:sz w:val="24"/>
          <w:szCs w:val="24"/>
        </w:rPr>
        <w:t>As to (b) in §</w:t>
      </w:r>
      <w:r w:rsidR="00596477" w:rsidRPr="00380E0D">
        <w:rPr>
          <w:sz w:val="24"/>
          <w:szCs w:val="24"/>
        </w:rPr>
        <w:fldChar w:fldCharType="begin"/>
      </w:r>
      <w:r w:rsidR="00596477" w:rsidRPr="00380E0D">
        <w:rPr>
          <w:sz w:val="24"/>
          <w:szCs w:val="24"/>
        </w:rPr>
        <w:instrText xml:space="preserve"> REF _Ref179719438 \r \h </w:instrText>
      </w:r>
      <w:r w:rsidR="006556E8" w:rsidRPr="00380E0D">
        <w:rPr>
          <w:sz w:val="24"/>
          <w:szCs w:val="24"/>
        </w:rPr>
        <w:instrText xml:space="preserve"> \* MERGEFORMAT </w:instrText>
      </w:r>
      <w:r w:rsidR="00596477" w:rsidRPr="00380E0D">
        <w:rPr>
          <w:sz w:val="24"/>
          <w:szCs w:val="24"/>
        </w:rPr>
      </w:r>
      <w:r w:rsidR="00596477" w:rsidRPr="00380E0D">
        <w:rPr>
          <w:sz w:val="24"/>
          <w:szCs w:val="24"/>
        </w:rPr>
        <w:fldChar w:fldCharType="separate"/>
      </w:r>
      <w:r w:rsidR="00CB63E8">
        <w:rPr>
          <w:sz w:val="24"/>
          <w:szCs w:val="24"/>
        </w:rPr>
        <w:t>39</w:t>
      </w:r>
      <w:r w:rsidR="00596477" w:rsidRPr="00380E0D">
        <w:rPr>
          <w:sz w:val="24"/>
          <w:szCs w:val="24"/>
        </w:rPr>
        <w:fldChar w:fldCharType="end"/>
      </w:r>
      <w:r w:rsidRPr="00380E0D">
        <w:rPr>
          <w:sz w:val="24"/>
          <w:szCs w:val="24"/>
        </w:rPr>
        <w:t xml:space="preserve"> above, in the Commission’s view, the difficulties in the application of §§26-28 </w:t>
      </w:r>
      <w:r w:rsidR="00596477" w:rsidRPr="00380E0D">
        <w:rPr>
          <w:sz w:val="24"/>
          <w:szCs w:val="24"/>
        </w:rPr>
        <w:t>of Sch</w:t>
      </w:r>
      <w:r w:rsidR="00AD0435" w:rsidRPr="00380E0D">
        <w:rPr>
          <w:sz w:val="24"/>
          <w:szCs w:val="24"/>
        </w:rPr>
        <w:t xml:space="preserve">. </w:t>
      </w:r>
      <w:r w:rsidR="00596477" w:rsidRPr="00380E0D">
        <w:rPr>
          <w:sz w:val="24"/>
          <w:szCs w:val="24"/>
        </w:rPr>
        <w:t xml:space="preserve">3 </w:t>
      </w:r>
      <w:r w:rsidRPr="00380E0D">
        <w:rPr>
          <w:sz w:val="24"/>
          <w:szCs w:val="24"/>
        </w:rPr>
        <w:t xml:space="preserve">are potentially more acute in the case of a person of the male sex who seeks access to a single sex, women-only service. </w:t>
      </w:r>
      <w:proofErr w:type="gramStart"/>
      <w:r w:rsidRPr="00380E0D">
        <w:rPr>
          <w:sz w:val="24"/>
          <w:szCs w:val="24"/>
        </w:rPr>
        <w:t>In order to</w:t>
      </w:r>
      <w:proofErr w:type="gramEnd"/>
      <w:r w:rsidRPr="00380E0D">
        <w:rPr>
          <w:sz w:val="24"/>
          <w:szCs w:val="24"/>
        </w:rPr>
        <w:t xml:space="preserve"> take advantage of the exceptions in §§26-27 for single sex services, so as to defend a claim by a man who is refused access, a service must fulfil one of the conditions in §27(2)-(7). The Commission apprehends that these conditions were drafted with </w:t>
      </w:r>
      <w:r w:rsidR="002814F9" w:rsidRPr="00380E0D">
        <w:rPr>
          <w:sz w:val="24"/>
          <w:szCs w:val="24"/>
        </w:rPr>
        <w:t>natal sex</w:t>
      </w:r>
      <w:r w:rsidRPr="00380E0D">
        <w:rPr>
          <w:sz w:val="24"/>
          <w:szCs w:val="24"/>
        </w:rPr>
        <w:t xml:space="preserve"> in mind. They are difficult to apply in modern circumstances, </w:t>
      </w:r>
      <w:r w:rsidR="00AD0435" w:rsidRPr="00380E0D">
        <w:rPr>
          <w:sz w:val="24"/>
          <w:szCs w:val="24"/>
        </w:rPr>
        <w:t xml:space="preserve">where </w:t>
      </w:r>
      <w:r w:rsidR="001E5C4A" w:rsidRPr="00380E0D">
        <w:rPr>
          <w:sz w:val="24"/>
          <w:szCs w:val="24"/>
        </w:rPr>
        <w:t xml:space="preserve">many </w:t>
      </w:r>
      <w:r w:rsidR="00AD0435" w:rsidRPr="00380E0D">
        <w:rPr>
          <w:sz w:val="24"/>
          <w:szCs w:val="24"/>
        </w:rPr>
        <w:t xml:space="preserve">trans people do not fulfil the description in §§1 and 61 of </w:t>
      </w:r>
      <w:r w:rsidR="00AD0435" w:rsidRPr="00380E0D">
        <w:rPr>
          <w:i/>
          <w:iCs/>
          <w:sz w:val="24"/>
          <w:szCs w:val="24"/>
          <w:u w:val="single"/>
        </w:rPr>
        <w:t>A</w:t>
      </w:r>
      <w:r w:rsidR="00AD0435" w:rsidRPr="00380E0D">
        <w:rPr>
          <w:sz w:val="24"/>
          <w:szCs w:val="24"/>
        </w:rPr>
        <w:t xml:space="preserve"> (see §</w:t>
      </w:r>
      <w:r w:rsidR="00116A7E" w:rsidRPr="00380E0D">
        <w:rPr>
          <w:sz w:val="24"/>
          <w:szCs w:val="24"/>
        </w:rPr>
        <w:fldChar w:fldCharType="begin"/>
      </w:r>
      <w:r w:rsidR="00116A7E" w:rsidRPr="00380E0D">
        <w:rPr>
          <w:sz w:val="24"/>
          <w:szCs w:val="24"/>
        </w:rPr>
        <w:instrText xml:space="preserve"> REF _Ref180424277 \r \h </w:instrText>
      </w:r>
      <w:r w:rsidR="00380E0D" w:rsidRPr="00380E0D">
        <w:rPr>
          <w:sz w:val="24"/>
          <w:szCs w:val="24"/>
        </w:rPr>
        <w:instrText xml:space="preserve"> \* MERGEFORMAT </w:instrText>
      </w:r>
      <w:r w:rsidR="00116A7E" w:rsidRPr="00380E0D">
        <w:rPr>
          <w:sz w:val="24"/>
          <w:szCs w:val="24"/>
        </w:rPr>
      </w:r>
      <w:r w:rsidR="00116A7E" w:rsidRPr="00380E0D">
        <w:rPr>
          <w:sz w:val="24"/>
          <w:szCs w:val="24"/>
        </w:rPr>
        <w:fldChar w:fldCharType="separate"/>
      </w:r>
      <w:r w:rsidR="00CB63E8">
        <w:rPr>
          <w:sz w:val="24"/>
          <w:szCs w:val="24"/>
        </w:rPr>
        <w:t>15</w:t>
      </w:r>
      <w:r w:rsidR="00116A7E" w:rsidRPr="00380E0D">
        <w:rPr>
          <w:sz w:val="24"/>
          <w:szCs w:val="24"/>
        </w:rPr>
        <w:fldChar w:fldCharType="end"/>
      </w:r>
      <w:r w:rsidR="00AD0435" w:rsidRPr="00380E0D">
        <w:rPr>
          <w:sz w:val="24"/>
          <w:szCs w:val="24"/>
        </w:rPr>
        <w:t xml:space="preserve"> above)</w:t>
      </w:r>
      <w:r w:rsidRPr="00380E0D">
        <w:rPr>
          <w:sz w:val="24"/>
          <w:szCs w:val="24"/>
        </w:rPr>
        <w:t>.</w:t>
      </w:r>
    </w:p>
    <w:p w14:paraId="295F3EA3" w14:textId="77777777" w:rsidR="005E4916" w:rsidRPr="00536BFF" w:rsidRDefault="005E4916" w:rsidP="00A75FA7">
      <w:pPr>
        <w:pStyle w:val="ListParagraph"/>
        <w:spacing w:line="360" w:lineRule="auto"/>
        <w:jc w:val="both"/>
        <w:rPr>
          <w:sz w:val="20"/>
          <w:szCs w:val="20"/>
        </w:rPr>
      </w:pPr>
    </w:p>
    <w:p w14:paraId="45F2B2AE" w14:textId="3200BC74" w:rsidR="005E4916" w:rsidRPr="00380E0D" w:rsidRDefault="005E4916" w:rsidP="00A75FA7">
      <w:pPr>
        <w:pStyle w:val="ListParagraph"/>
        <w:numPr>
          <w:ilvl w:val="0"/>
          <w:numId w:val="1"/>
        </w:numPr>
        <w:spacing w:line="360" w:lineRule="auto"/>
        <w:jc w:val="both"/>
        <w:rPr>
          <w:sz w:val="24"/>
          <w:szCs w:val="24"/>
        </w:rPr>
      </w:pPr>
      <w:bookmarkStart w:id="9" w:name="_Ref179720135"/>
      <w:r w:rsidRPr="00380E0D">
        <w:rPr>
          <w:sz w:val="24"/>
          <w:szCs w:val="24"/>
        </w:rPr>
        <w:t>Some of the conditions in §27(2)-(7) may be difficult for a women-only service to satisfy once it is appreciated that a person of one (legal) sex includes – taking the example of the male sex – (a) a person who is</w:t>
      </w:r>
      <w:r w:rsidR="004762EE" w:rsidRPr="00380E0D">
        <w:rPr>
          <w:sz w:val="24"/>
          <w:szCs w:val="24"/>
        </w:rPr>
        <w:t xml:space="preserve"> a natal </w:t>
      </w:r>
      <w:r w:rsidRPr="00380E0D">
        <w:rPr>
          <w:sz w:val="24"/>
          <w:szCs w:val="24"/>
        </w:rPr>
        <w:t xml:space="preserve">male and does </w:t>
      </w:r>
      <w:r w:rsidR="002B7622" w:rsidRPr="00380E0D">
        <w:rPr>
          <w:sz w:val="24"/>
          <w:szCs w:val="24"/>
        </w:rPr>
        <w:t>not identify as transgender</w:t>
      </w:r>
      <w:r w:rsidRPr="00380E0D">
        <w:rPr>
          <w:sz w:val="24"/>
          <w:szCs w:val="24"/>
        </w:rPr>
        <w:t xml:space="preserve">, (b) a person who is </w:t>
      </w:r>
      <w:r w:rsidR="004762EE" w:rsidRPr="00380E0D">
        <w:rPr>
          <w:sz w:val="24"/>
          <w:szCs w:val="24"/>
        </w:rPr>
        <w:t>a natal</w:t>
      </w:r>
      <w:r w:rsidRPr="00380E0D">
        <w:rPr>
          <w:sz w:val="24"/>
          <w:szCs w:val="24"/>
        </w:rPr>
        <w:t xml:space="preserve"> female but has a GRC</w:t>
      </w:r>
      <w:r w:rsidR="002B7622" w:rsidRPr="00380E0D">
        <w:rPr>
          <w:sz w:val="24"/>
          <w:szCs w:val="24"/>
        </w:rPr>
        <w:t>,</w:t>
      </w:r>
      <w:r w:rsidRPr="00380E0D">
        <w:rPr>
          <w:sz w:val="24"/>
          <w:szCs w:val="24"/>
        </w:rPr>
        <w:t xml:space="preserve"> and (c) a person who is </w:t>
      </w:r>
      <w:r w:rsidR="004762EE" w:rsidRPr="00380E0D">
        <w:rPr>
          <w:sz w:val="24"/>
          <w:szCs w:val="24"/>
        </w:rPr>
        <w:t>a natal</w:t>
      </w:r>
      <w:r w:rsidRPr="00380E0D">
        <w:rPr>
          <w:sz w:val="24"/>
          <w:szCs w:val="24"/>
        </w:rPr>
        <w:t xml:space="preserve"> male, is a trans</w:t>
      </w:r>
      <w:r w:rsidR="004762EE" w:rsidRPr="00380E0D">
        <w:rPr>
          <w:sz w:val="24"/>
          <w:szCs w:val="24"/>
        </w:rPr>
        <w:t xml:space="preserve"> </w:t>
      </w:r>
      <w:r w:rsidRPr="00380E0D">
        <w:rPr>
          <w:sz w:val="24"/>
          <w:szCs w:val="24"/>
        </w:rPr>
        <w:t>woman</w:t>
      </w:r>
      <w:r w:rsidR="002B7622" w:rsidRPr="00380E0D">
        <w:rPr>
          <w:sz w:val="24"/>
          <w:szCs w:val="24"/>
        </w:rPr>
        <w:t>,</w:t>
      </w:r>
      <w:r w:rsidRPr="00380E0D">
        <w:rPr>
          <w:sz w:val="24"/>
          <w:szCs w:val="24"/>
        </w:rPr>
        <w:t xml:space="preserve"> but does not have a GRC.</w:t>
      </w:r>
      <w:bookmarkEnd w:id="9"/>
    </w:p>
    <w:p w14:paraId="0ABD9149" w14:textId="77777777" w:rsidR="005E4916" w:rsidRPr="00C54D23" w:rsidRDefault="005E4916" w:rsidP="00A75FA7">
      <w:pPr>
        <w:pStyle w:val="ListParagraph"/>
        <w:spacing w:line="360" w:lineRule="auto"/>
        <w:jc w:val="both"/>
        <w:rPr>
          <w:sz w:val="16"/>
          <w:szCs w:val="16"/>
        </w:rPr>
      </w:pPr>
    </w:p>
    <w:p w14:paraId="257B495B" w14:textId="337D386E" w:rsidR="005E4916" w:rsidRPr="00380E0D" w:rsidRDefault="005E4916" w:rsidP="00A75FA7">
      <w:pPr>
        <w:pStyle w:val="ListParagraph"/>
        <w:numPr>
          <w:ilvl w:val="0"/>
          <w:numId w:val="1"/>
        </w:numPr>
        <w:spacing w:line="360" w:lineRule="auto"/>
        <w:jc w:val="both"/>
        <w:rPr>
          <w:sz w:val="24"/>
          <w:szCs w:val="24"/>
        </w:rPr>
      </w:pPr>
      <w:r w:rsidRPr="00380E0D">
        <w:rPr>
          <w:sz w:val="24"/>
          <w:szCs w:val="24"/>
        </w:rPr>
        <w:t>For example, the condition in §27(6), which is the legal basis for many women-only spaces, is that “</w:t>
      </w:r>
      <w:r w:rsidRPr="00380E0D">
        <w:rPr>
          <w:i/>
          <w:iCs/>
          <w:sz w:val="24"/>
          <w:szCs w:val="24"/>
        </w:rPr>
        <w:t>(a) the service is provided for, or is likely to be used by, two or more persons at the same time, and (b) the circumstances are such that a person of one sex might reasonably object to the presence of a person of the opposite sex</w:t>
      </w:r>
      <w:r w:rsidRPr="00380E0D">
        <w:rPr>
          <w:sz w:val="24"/>
          <w:szCs w:val="24"/>
        </w:rPr>
        <w:t>”. This condition rel</w:t>
      </w:r>
      <w:r w:rsidR="001E43C9" w:rsidRPr="00380E0D">
        <w:rPr>
          <w:sz w:val="24"/>
          <w:szCs w:val="24"/>
        </w:rPr>
        <w:t>ies</w:t>
      </w:r>
      <w:r w:rsidRPr="00380E0D">
        <w:rPr>
          <w:sz w:val="24"/>
          <w:szCs w:val="24"/>
        </w:rPr>
        <w:t xml:space="preserve"> upon there being a meaningful and observable differentiation between the categories of those included in the service and those excluded from it </w:t>
      </w:r>
      <w:r w:rsidR="002814F9" w:rsidRPr="00380E0D">
        <w:rPr>
          <w:sz w:val="24"/>
          <w:szCs w:val="24"/>
        </w:rPr>
        <w:t xml:space="preserve">(see the </w:t>
      </w:r>
      <w:r w:rsidR="002814F9" w:rsidRPr="00FB40E9">
        <w:rPr>
          <w:i/>
          <w:iCs/>
          <w:sz w:val="24"/>
          <w:szCs w:val="24"/>
        </w:rPr>
        <w:t>dictum</w:t>
      </w:r>
      <w:r w:rsidR="002814F9" w:rsidRPr="00380E0D">
        <w:rPr>
          <w:sz w:val="24"/>
          <w:szCs w:val="24"/>
        </w:rPr>
        <w:t xml:space="preserve"> of Lord Bingham in </w:t>
      </w:r>
      <w:r w:rsidR="002814F9" w:rsidRPr="00380E0D">
        <w:rPr>
          <w:i/>
          <w:iCs/>
          <w:sz w:val="24"/>
          <w:szCs w:val="24"/>
          <w:u w:val="single"/>
        </w:rPr>
        <w:t>A</w:t>
      </w:r>
      <w:r w:rsidR="002814F9" w:rsidRPr="00380E0D">
        <w:rPr>
          <w:sz w:val="24"/>
          <w:szCs w:val="24"/>
        </w:rPr>
        <w:t>, quoted in §</w:t>
      </w:r>
      <w:r w:rsidR="00116A7E" w:rsidRPr="00380E0D">
        <w:rPr>
          <w:sz w:val="24"/>
          <w:szCs w:val="24"/>
        </w:rPr>
        <w:fldChar w:fldCharType="begin"/>
      </w:r>
      <w:r w:rsidR="00116A7E" w:rsidRPr="00380E0D">
        <w:rPr>
          <w:sz w:val="24"/>
          <w:szCs w:val="24"/>
        </w:rPr>
        <w:instrText xml:space="preserve"> REF _Ref180424201 \r \h </w:instrText>
      </w:r>
      <w:r w:rsidR="00380E0D" w:rsidRPr="00380E0D">
        <w:rPr>
          <w:sz w:val="24"/>
          <w:szCs w:val="24"/>
        </w:rPr>
        <w:instrText xml:space="preserve"> \* MERGEFORMAT </w:instrText>
      </w:r>
      <w:r w:rsidR="00116A7E" w:rsidRPr="00380E0D">
        <w:rPr>
          <w:sz w:val="24"/>
          <w:szCs w:val="24"/>
        </w:rPr>
      </w:r>
      <w:r w:rsidR="00116A7E" w:rsidRPr="00380E0D">
        <w:rPr>
          <w:sz w:val="24"/>
          <w:szCs w:val="24"/>
        </w:rPr>
        <w:fldChar w:fldCharType="separate"/>
      </w:r>
      <w:r w:rsidR="00CB63E8">
        <w:rPr>
          <w:sz w:val="24"/>
          <w:szCs w:val="24"/>
        </w:rPr>
        <w:t>14</w:t>
      </w:r>
      <w:r w:rsidR="00116A7E" w:rsidRPr="00380E0D">
        <w:rPr>
          <w:sz w:val="24"/>
          <w:szCs w:val="24"/>
        </w:rPr>
        <w:fldChar w:fldCharType="end"/>
      </w:r>
      <w:r w:rsidR="002814F9" w:rsidRPr="00380E0D">
        <w:rPr>
          <w:sz w:val="24"/>
          <w:szCs w:val="24"/>
        </w:rPr>
        <w:t xml:space="preserve"> above)</w:t>
      </w:r>
      <w:r w:rsidRPr="00380E0D">
        <w:rPr>
          <w:sz w:val="24"/>
          <w:szCs w:val="24"/>
        </w:rPr>
        <w:t>. Plainly, that differentiation is undermined if “</w:t>
      </w:r>
      <w:r w:rsidRPr="00380E0D">
        <w:rPr>
          <w:i/>
          <w:iCs/>
          <w:sz w:val="24"/>
          <w:szCs w:val="24"/>
        </w:rPr>
        <w:t>men</w:t>
      </w:r>
      <w:r w:rsidRPr="00380E0D">
        <w:rPr>
          <w:sz w:val="24"/>
          <w:szCs w:val="24"/>
        </w:rPr>
        <w:t>” and “</w:t>
      </w:r>
      <w:r w:rsidRPr="00380E0D">
        <w:rPr>
          <w:i/>
          <w:iCs/>
          <w:sz w:val="24"/>
          <w:szCs w:val="24"/>
        </w:rPr>
        <w:t>women</w:t>
      </w:r>
      <w:r w:rsidRPr="00380E0D">
        <w:rPr>
          <w:sz w:val="24"/>
          <w:szCs w:val="24"/>
        </w:rPr>
        <w:t xml:space="preserve">” may be of either </w:t>
      </w:r>
      <w:r w:rsidR="002814F9" w:rsidRPr="00380E0D">
        <w:rPr>
          <w:sz w:val="24"/>
          <w:szCs w:val="24"/>
        </w:rPr>
        <w:t>natal sex</w:t>
      </w:r>
      <w:r w:rsidRPr="00380E0D">
        <w:rPr>
          <w:sz w:val="24"/>
          <w:szCs w:val="24"/>
        </w:rPr>
        <w:t>. It may, for example, be unreasonable for a woman to object to the presence of a trans</w:t>
      </w:r>
      <w:r w:rsidR="00596477" w:rsidRPr="00380E0D">
        <w:rPr>
          <w:sz w:val="24"/>
          <w:szCs w:val="24"/>
        </w:rPr>
        <w:t xml:space="preserve"> </w:t>
      </w:r>
      <w:r w:rsidRPr="00380E0D">
        <w:rPr>
          <w:sz w:val="24"/>
          <w:szCs w:val="24"/>
        </w:rPr>
        <w:t>woman without a GRC, who is both a biological and a legal male, where a trans</w:t>
      </w:r>
      <w:r w:rsidR="00596477" w:rsidRPr="00380E0D">
        <w:rPr>
          <w:sz w:val="24"/>
          <w:szCs w:val="24"/>
        </w:rPr>
        <w:t xml:space="preserve"> </w:t>
      </w:r>
      <w:r w:rsidRPr="00380E0D">
        <w:rPr>
          <w:sz w:val="24"/>
          <w:szCs w:val="24"/>
        </w:rPr>
        <w:t xml:space="preserve">woman </w:t>
      </w:r>
      <w:r w:rsidR="00740FA9" w:rsidRPr="00380E0D">
        <w:rPr>
          <w:sz w:val="24"/>
          <w:szCs w:val="24"/>
        </w:rPr>
        <w:t xml:space="preserve">with </w:t>
      </w:r>
      <w:r w:rsidRPr="00380E0D">
        <w:rPr>
          <w:sz w:val="24"/>
          <w:szCs w:val="24"/>
        </w:rPr>
        <w:t xml:space="preserve">a GRC, and so is a biological male but legally female, </w:t>
      </w:r>
      <w:proofErr w:type="gramStart"/>
      <w:r w:rsidRPr="00380E0D">
        <w:rPr>
          <w:sz w:val="24"/>
          <w:szCs w:val="24"/>
        </w:rPr>
        <w:t>as a result of</w:t>
      </w:r>
      <w:proofErr w:type="gramEnd"/>
      <w:r w:rsidRPr="00380E0D">
        <w:rPr>
          <w:sz w:val="24"/>
          <w:szCs w:val="24"/>
        </w:rPr>
        <w:t xml:space="preserve"> s. 9 GRA, is entitled to use the service. There may be no difference whatsoever in appearance between the two trans</w:t>
      </w:r>
      <w:r w:rsidR="00596477" w:rsidRPr="00380E0D">
        <w:rPr>
          <w:sz w:val="24"/>
          <w:szCs w:val="24"/>
        </w:rPr>
        <w:t xml:space="preserve"> </w:t>
      </w:r>
      <w:r w:rsidRPr="00380E0D">
        <w:rPr>
          <w:sz w:val="24"/>
          <w:szCs w:val="24"/>
        </w:rPr>
        <w:t>women in this example. The only difference between them may be non-observable</w:t>
      </w:r>
      <w:r w:rsidR="001E43C9" w:rsidRPr="00380E0D">
        <w:rPr>
          <w:sz w:val="24"/>
          <w:szCs w:val="24"/>
        </w:rPr>
        <w:t xml:space="preserve"> </w:t>
      </w:r>
      <w:r w:rsidR="00DA60B0">
        <w:rPr>
          <w:sz w:val="24"/>
          <w:szCs w:val="24"/>
        </w:rPr>
        <w:t>and</w:t>
      </w:r>
      <w:r w:rsidR="001E43C9" w:rsidRPr="00380E0D">
        <w:rPr>
          <w:sz w:val="24"/>
          <w:szCs w:val="24"/>
        </w:rPr>
        <w:t xml:space="preserve"> immaterial</w:t>
      </w:r>
      <w:r w:rsidR="00074E2E" w:rsidRPr="00380E0D">
        <w:rPr>
          <w:sz w:val="24"/>
          <w:szCs w:val="24"/>
        </w:rPr>
        <w:t xml:space="preserve"> to the provision</w:t>
      </w:r>
      <w:r w:rsidRPr="00380E0D">
        <w:rPr>
          <w:sz w:val="24"/>
          <w:szCs w:val="24"/>
        </w:rPr>
        <w:t>, namely that one has a GRC and the other does not.</w:t>
      </w:r>
      <w:r w:rsidR="00AD0435" w:rsidRPr="00380E0D">
        <w:rPr>
          <w:rStyle w:val="FootnoteReference"/>
          <w:sz w:val="24"/>
          <w:szCs w:val="24"/>
        </w:rPr>
        <w:footnoteReference w:id="14"/>
      </w:r>
    </w:p>
    <w:p w14:paraId="05B9E581" w14:textId="77777777" w:rsidR="005E4916" w:rsidRPr="00C54D23" w:rsidRDefault="005E4916" w:rsidP="00A75FA7">
      <w:pPr>
        <w:pStyle w:val="ListParagraph"/>
        <w:spacing w:line="360" w:lineRule="auto"/>
        <w:jc w:val="both"/>
        <w:rPr>
          <w:sz w:val="18"/>
          <w:szCs w:val="18"/>
        </w:rPr>
      </w:pPr>
    </w:p>
    <w:p w14:paraId="47A6373E" w14:textId="41305A11" w:rsidR="005E4916" w:rsidRPr="00380E0D" w:rsidRDefault="005E4916" w:rsidP="00A75FA7">
      <w:pPr>
        <w:pStyle w:val="ListParagraph"/>
        <w:numPr>
          <w:ilvl w:val="0"/>
          <w:numId w:val="1"/>
        </w:numPr>
        <w:spacing w:line="360" w:lineRule="auto"/>
        <w:jc w:val="both"/>
        <w:rPr>
          <w:sz w:val="24"/>
          <w:szCs w:val="24"/>
        </w:rPr>
      </w:pPr>
      <w:r w:rsidRPr="00380E0D">
        <w:rPr>
          <w:sz w:val="24"/>
          <w:szCs w:val="24"/>
        </w:rPr>
        <w:t>Similar difficulties may arise in relation to the other conditions in §§27(2)-(7), save for that relating to hospitals and analogous establishments in §27(5).</w:t>
      </w:r>
      <w:r w:rsidR="0030576D" w:rsidRPr="00380E0D">
        <w:rPr>
          <w:sz w:val="24"/>
          <w:szCs w:val="24"/>
        </w:rPr>
        <w:t xml:space="preserve">  Contrary to </w:t>
      </w:r>
      <w:r w:rsidR="0094227E" w:rsidRPr="00380E0D">
        <w:rPr>
          <w:sz w:val="24"/>
          <w:szCs w:val="24"/>
        </w:rPr>
        <w:t>[</w:t>
      </w:r>
      <w:r w:rsidR="0030576D" w:rsidRPr="00380E0D">
        <w:rPr>
          <w:sz w:val="24"/>
          <w:szCs w:val="24"/>
        </w:rPr>
        <w:t>AC§32</w:t>
      </w:r>
      <w:r w:rsidR="00CC4458">
        <w:rPr>
          <w:sz w:val="24"/>
          <w:szCs w:val="24"/>
        </w:rPr>
        <w:t xml:space="preserve"> </w:t>
      </w:r>
      <w:r w:rsidR="00CC4458" w:rsidRPr="00CC4458">
        <w:rPr>
          <w:color w:val="FF0000"/>
          <w:sz w:val="24"/>
          <w:szCs w:val="24"/>
        </w:rPr>
        <w:t>EF.1</w:t>
      </w:r>
      <w:r w:rsidR="007057BB">
        <w:rPr>
          <w:color w:val="FF0000"/>
          <w:sz w:val="24"/>
          <w:szCs w:val="24"/>
        </w:rPr>
        <w:t>67</w:t>
      </w:r>
      <w:r w:rsidR="0094227E" w:rsidRPr="00380E0D">
        <w:rPr>
          <w:sz w:val="24"/>
          <w:szCs w:val="24"/>
        </w:rPr>
        <w:t>]</w:t>
      </w:r>
      <w:r w:rsidR="00074E2E" w:rsidRPr="00380E0D">
        <w:rPr>
          <w:sz w:val="24"/>
          <w:szCs w:val="24"/>
        </w:rPr>
        <w:t xml:space="preserve">, </w:t>
      </w:r>
      <w:r w:rsidR="0030576D" w:rsidRPr="00380E0D">
        <w:rPr>
          <w:sz w:val="24"/>
          <w:szCs w:val="24"/>
        </w:rPr>
        <w:t xml:space="preserve">it </w:t>
      </w:r>
      <w:r w:rsidR="0030576D" w:rsidRPr="00380E0D">
        <w:rPr>
          <w:sz w:val="24"/>
          <w:szCs w:val="24"/>
        </w:rPr>
        <w:lastRenderedPageBreak/>
        <w:t xml:space="preserve">is not the Commission’s position that it </w:t>
      </w:r>
      <w:r w:rsidR="001E5C4A" w:rsidRPr="00380E0D">
        <w:rPr>
          <w:sz w:val="24"/>
          <w:szCs w:val="24"/>
        </w:rPr>
        <w:t xml:space="preserve">is </w:t>
      </w:r>
      <w:r w:rsidR="0030576D" w:rsidRPr="00380E0D">
        <w:rPr>
          <w:sz w:val="24"/>
          <w:szCs w:val="24"/>
        </w:rPr>
        <w:t>impossible in practice</w:t>
      </w:r>
      <w:r w:rsidR="00732120" w:rsidRPr="00380E0D">
        <w:rPr>
          <w:sz w:val="24"/>
          <w:szCs w:val="24"/>
        </w:rPr>
        <w:t>, on the second definition,</w:t>
      </w:r>
      <w:r w:rsidR="0030576D" w:rsidRPr="00380E0D">
        <w:rPr>
          <w:sz w:val="24"/>
          <w:szCs w:val="24"/>
        </w:rPr>
        <w:t xml:space="preserve"> </w:t>
      </w:r>
      <w:r w:rsidR="00732120" w:rsidRPr="00380E0D">
        <w:rPr>
          <w:sz w:val="24"/>
          <w:szCs w:val="24"/>
        </w:rPr>
        <w:t>to make provision for women-only hospital wards.</w:t>
      </w:r>
    </w:p>
    <w:p w14:paraId="4EA213E6" w14:textId="77777777" w:rsidR="005E4916" w:rsidRPr="00C54D23" w:rsidRDefault="005E4916" w:rsidP="00A75FA7">
      <w:pPr>
        <w:pStyle w:val="ListParagraph"/>
        <w:spacing w:line="360" w:lineRule="auto"/>
        <w:jc w:val="both"/>
        <w:rPr>
          <w:sz w:val="20"/>
          <w:szCs w:val="20"/>
        </w:rPr>
      </w:pPr>
    </w:p>
    <w:p w14:paraId="3AE2383F" w14:textId="797A88C6" w:rsidR="005E4916" w:rsidRPr="00536BFF" w:rsidRDefault="005E4916" w:rsidP="00235A4E">
      <w:pPr>
        <w:pStyle w:val="ListParagraph"/>
        <w:numPr>
          <w:ilvl w:val="0"/>
          <w:numId w:val="1"/>
        </w:numPr>
        <w:spacing w:line="360" w:lineRule="auto"/>
        <w:jc w:val="both"/>
        <w:rPr>
          <w:sz w:val="24"/>
          <w:szCs w:val="24"/>
        </w:rPr>
      </w:pPr>
      <w:bookmarkStart w:id="10" w:name="_Ref179719728"/>
      <w:r w:rsidRPr="00380E0D">
        <w:rPr>
          <w:sz w:val="24"/>
          <w:szCs w:val="24"/>
        </w:rPr>
        <w:t>In summary, whilst the Commission accepts that s. 9</w:t>
      </w:r>
      <w:r w:rsidR="002814F9" w:rsidRPr="00380E0D">
        <w:rPr>
          <w:sz w:val="24"/>
          <w:szCs w:val="24"/>
        </w:rPr>
        <w:t>(1)</w:t>
      </w:r>
      <w:r w:rsidRPr="00380E0D">
        <w:rPr>
          <w:sz w:val="24"/>
          <w:szCs w:val="24"/>
        </w:rPr>
        <w:t xml:space="preserve"> GRA falls to be applied to §§26-28 of </w:t>
      </w:r>
      <w:r w:rsidR="001E43C9" w:rsidRPr="00380E0D">
        <w:rPr>
          <w:sz w:val="24"/>
          <w:szCs w:val="24"/>
        </w:rPr>
        <w:t xml:space="preserve">Sch. </w:t>
      </w:r>
      <w:r w:rsidRPr="00380E0D">
        <w:rPr>
          <w:sz w:val="24"/>
          <w:szCs w:val="24"/>
        </w:rPr>
        <w:t xml:space="preserve">3, </w:t>
      </w:r>
      <w:r w:rsidR="00A15CC3" w:rsidRPr="00380E0D">
        <w:rPr>
          <w:sz w:val="24"/>
          <w:szCs w:val="24"/>
        </w:rPr>
        <w:t xml:space="preserve">the Court is invited to </w:t>
      </w:r>
      <w:r w:rsidR="00596477" w:rsidRPr="00380E0D">
        <w:rPr>
          <w:sz w:val="24"/>
          <w:szCs w:val="24"/>
        </w:rPr>
        <w:t>acknowledge</w:t>
      </w:r>
      <w:r w:rsidRPr="00380E0D">
        <w:rPr>
          <w:sz w:val="24"/>
          <w:szCs w:val="24"/>
        </w:rPr>
        <w:t xml:space="preserve"> the very significant difficulties which may arise in </w:t>
      </w:r>
      <w:r w:rsidRPr="00536BFF">
        <w:rPr>
          <w:sz w:val="24"/>
          <w:szCs w:val="24"/>
        </w:rPr>
        <w:t xml:space="preserve">practice from applying s.9 GRA to provisions which were drafted for the case of, and make sense in the context of, single </w:t>
      </w:r>
      <w:r w:rsidR="002814F9" w:rsidRPr="00536BFF">
        <w:rPr>
          <w:sz w:val="24"/>
          <w:szCs w:val="24"/>
        </w:rPr>
        <w:t>natal sex</w:t>
      </w:r>
      <w:r w:rsidRPr="00536BFF">
        <w:rPr>
          <w:sz w:val="24"/>
          <w:szCs w:val="24"/>
        </w:rPr>
        <w:t xml:space="preserve"> services.</w:t>
      </w:r>
      <w:bookmarkEnd w:id="10"/>
    </w:p>
    <w:bookmarkEnd w:id="8"/>
    <w:p w14:paraId="13948CA0" w14:textId="77777777" w:rsidR="005E4916" w:rsidRPr="00536BFF" w:rsidRDefault="005E4916" w:rsidP="00A75FA7">
      <w:pPr>
        <w:pStyle w:val="ListParagraph"/>
        <w:spacing w:line="360" w:lineRule="auto"/>
        <w:jc w:val="both"/>
        <w:rPr>
          <w:sz w:val="24"/>
          <w:szCs w:val="24"/>
        </w:rPr>
      </w:pPr>
    </w:p>
    <w:p w14:paraId="6B981726" w14:textId="0F678512" w:rsidR="005E4916" w:rsidRPr="00536BFF" w:rsidRDefault="00074E3F" w:rsidP="00074E3F">
      <w:pPr>
        <w:pStyle w:val="Heading3"/>
        <w:rPr>
          <w:sz w:val="24"/>
          <w:szCs w:val="24"/>
        </w:rPr>
      </w:pPr>
      <w:r w:rsidRPr="00536BFF">
        <w:rPr>
          <w:sz w:val="24"/>
          <w:szCs w:val="24"/>
        </w:rPr>
        <w:t xml:space="preserve">(iv) </w:t>
      </w:r>
      <w:r w:rsidR="00F75CA5" w:rsidRPr="00536BFF">
        <w:rPr>
          <w:sz w:val="24"/>
          <w:szCs w:val="24"/>
        </w:rPr>
        <w:t xml:space="preserve">Communal accommodation </w:t>
      </w:r>
    </w:p>
    <w:p w14:paraId="47FB8D73" w14:textId="3A94BBE9" w:rsidR="00F75CA5" w:rsidRPr="00380E0D" w:rsidRDefault="002814F9" w:rsidP="00AC37B4">
      <w:pPr>
        <w:pStyle w:val="ListParagraph"/>
        <w:numPr>
          <w:ilvl w:val="0"/>
          <w:numId w:val="1"/>
        </w:numPr>
        <w:spacing w:line="360" w:lineRule="auto"/>
        <w:jc w:val="both"/>
        <w:rPr>
          <w:sz w:val="24"/>
          <w:szCs w:val="24"/>
        </w:rPr>
      </w:pPr>
      <w:r w:rsidRPr="00536BFF">
        <w:rPr>
          <w:sz w:val="24"/>
          <w:szCs w:val="24"/>
        </w:rPr>
        <w:t xml:space="preserve">Similar points arise </w:t>
      </w:r>
      <w:r w:rsidR="00F75CA5" w:rsidRPr="00536BFF">
        <w:rPr>
          <w:sz w:val="24"/>
          <w:szCs w:val="24"/>
        </w:rPr>
        <w:t xml:space="preserve">in relation to §3 of </w:t>
      </w:r>
      <w:r w:rsidR="006873AB" w:rsidRPr="00536BFF">
        <w:rPr>
          <w:sz w:val="24"/>
          <w:szCs w:val="24"/>
        </w:rPr>
        <w:t xml:space="preserve">Sch. </w:t>
      </w:r>
      <w:r w:rsidR="00F75CA5" w:rsidRPr="00536BFF">
        <w:rPr>
          <w:sz w:val="24"/>
          <w:szCs w:val="24"/>
        </w:rPr>
        <w:t xml:space="preserve">23 </w:t>
      </w:r>
      <w:proofErr w:type="spellStart"/>
      <w:r w:rsidR="00F75CA5" w:rsidRPr="00536BFF">
        <w:rPr>
          <w:sz w:val="24"/>
          <w:szCs w:val="24"/>
        </w:rPr>
        <w:t>EqA</w:t>
      </w:r>
      <w:proofErr w:type="spellEnd"/>
      <w:r w:rsidR="00F75CA5" w:rsidRPr="00536BFF">
        <w:rPr>
          <w:sz w:val="24"/>
          <w:szCs w:val="24"/>
        </w:rPr>
        <w:t xml:space="preserve"> – which exempts discrimination on grounds of sex or gender</w:t>
      </w:r>
      <w:r w:rsidR="00F75CA5" w:rsidRPr="00380E0D">
        <w:rPr>
          <w:sz w:val="24"/>
          <w:szCs w:val="24"/>
        </w:rPr>
        <w:t xml:space="preserve"> reassignment in relation to communal accommodation. Section 9</w:t>
      </w:r>
      <w:r w:rsidRPr="00380E0D">
        <w:rPr>
          <w:sz w:val="24"/>
          <w:szCs w:val="24"/>
        </w:rPr>
        <w:t>(1)</w:t>
      </w:r>
      <w:r w:rsidR="00F75CA5" w:rsidRPr="00380E0D">
        <w:rPr>
          <w:sz w:val="24"/>
          <w:szCs w:val="24"/>
        </w:rPr>
        <w:t xml:space="preserve"> GRA </w:t>
      </w:r>
      <w:r w:rsidRPr="00380E0D">
        <w:rPr>
          <w:sz w:val="24"/>
          <w:szCs w:val="24"/>
        </w:rPr>
        <w:t xml:space="preserve">should </w:t>
      </w:r>
      <w:r w:rsidR="00F75CA5" w:rsidRPr="00380E0D">
        <w:rPr>
          <w:sz w:val="24"/>
          <w:szCs w:val="24"/>
        </w:rPr>
        <w:t>be applied to these provisions</w:t>
      </w:r>
      <w:r w:rsidRPr="00380E0D">
        <w:rPr>
          <w:sz w:val="24"/>
          <w:szCs w:val="24"/>
        </w:rPr>
        <w:t>:  there is no</w:t>
      </w:r>
      <w:r w:rsidR="00AB1916" w:rsidRPr="00380E0D">
        <w:rPr>
          <w:sz w:val="24"/>
          <w:szCs w:val="24"/>
        </w:rPr>
        <w:t xml:space="preserve"> necessary implication that it be disapplied</w:t>
      </w:r>
      <w:r w:rsidR="00284120" w:rsidRPr="00380E0D">
        <w:rPr>
          <w:sz w:val="24"/>
          <w:szCs w:val="24"/>
        </w:rPr>
        <w:t>,</w:t>
      </w:r>
      <w:r w:rsidR="00F75CA5" w:rsidRPr="00380E0D">
        <w:rPr>
          <w:sz w:val="24"/>
          <w:szCs w:val="24"/>
        </w:rPr>
        <w:t xml:space="preserve"> but the likely result is considerable difficulty in practice and an undermining of the utility of the provisions.</w:t>
      </w:r>
      <w:r w:rsidR="00AC37B4" w:rsidRPr="00380E0D">
        <w:rPr>
          <w:sz w:val="24"/>
          <w:szCs w:val="24"/>
        </w:rPr>
        <w:t xml:space="preserve">  </w:t>
      </w:r>
      <w:r w:rsidR="00F75CA5" w:rsidRPr="00380E0D">
        <w:rPr>
          <w:sz w:val="24"/>
          <w:szCs w:val="24"/>
        </w:rPr>
        <w:t>Accordingly:</w:t>
      </w:r>
    </w:p>
    <w:p w14:paraId="186E4674" w14:textId="77777777" w:rsidR="00F75CA5" w:rsidRPr="00C54D23" w:rsidRDefault="00F75CA5" w:rsidP="00F75CA5">
      <w:pPr>
        <w:pStyle w:val="ListParagraph"/>
        <w:spacing w:line="360" w:lineRule="auto"/>
        <w:jc w:val="both"/>
        <w:rPr>
          <w:sz w:val="20"/>
          <w:szCs w:val="20"/>
        </w:rPr>
      </w:pPr>
    </w:p>
    <w:p w14:paraId="59918EA1" w14:textId="64995BA9" w:rsidR="00F75CA5" w:rsidRPr="00380E0D" w:rsidRDefault="00F75CA5" w:rsidP="00A15CC3">
      <w:pPr>
        <w:pStyle w:val="ListParagraph"/>
        <w:numPr>
          <w:ilvl w:val="1"/>
          <w:numId w:val="1"/>
        </w:numPr>
        <w:spacing w:line="360" w:lineRule="auto"/>
        <w:jc w:val="both"/>
        <w:rPr>
          <w:sz w:val="24"/>
          <w:szCs w:val="24"/>
        </w:rPr>
      </w:pPr>
      <w:r w:rsidRPr="00380E0D">
        <w:rPr>
          <w:sz w:val="24"/>
          <w:szCs w:val="24"/>
        </w:rPr>
        <w:t>A person who has been issued with a GRC is to be treated for the purposes of §3 of Sch</w:t>
      </w:r>
      <w:r w:rsidR="00AD0435" w:rsidRPr="00380E0D">
        <w:rPr>
          <w:sz w:val="24"/>
          <w:szCs w:val="24"/>
        </w:rPr>
        <w:t>.</w:t>
      </w:r>
      <w:r w:rsidRPr="00380E0D">
        <w:rPr>
          <w:sz w:val="24"/>
          <w:szCs w:val="24"/>
        </w:rPr>
        <w:t xml:space="preserve"> 23 as having their acquired gender. </w:t>
      </w:r>
      <w:r w:rsidR="00074E2E" w:rsidRPr="00380E0D">
        <w:rPr>
          <w:sz w:val="24"/>
          <w:szCs w:val="24"/>
        </w:rPr>
        <w:t>A</w:t>
      </w:r>
      <w:r w:rsidRPr="00380E0D">
        <w:rPr>
          <w:sz w:val="24"/>
          <w:szCs w:val="24"/>
        </w:rPr>
        <w:t xml:space="preserve"> person who</w:t>
      </w:r>
      <w:r w:rsidR="00596477" w:rsidRPr="00380E0D">
        <w:rPr>
          <w:sz w:val="24"/>
          <w:szCs w:val="24"/>
        </w:rPr>
        <w:t xml:space="preserve"> is a natal man </w:t>
      </w:r>
      <w:r w:rsidR="00074E2E" w:rsidRPr="00380E0D">
        <w:rPr>
          <w:sz w:val="24"/>
          <w:szCs w:val="24"/>
        </w:rPr>
        <w:t>with a</w:t>
      </w:r>
      <w:r w:rsidRPr="00380E0D">
        <w:rPr>
          <w:sz w:val="24"/>
          <w:szCs w:val="24"/>
        </w:rPr>
        <w:t xml:space="preserve"> GRC </w:t>
      </w:r>
      <w:r w:rsidR="00596477" w:rsidRPr="00380E0D">
        <w:rPr>
          <w:sz w:val="24"/>
          <w:szCs w:val="24"/>
        </w:rPr>
        <w:t xml:space="preserve">(a trans woman) </w:t>
      </w:r>
      <w:r w:rsidRPr="00380E0D">
        <w:rPr>
          <w:sz w:val="24"/>
          <w:szCs w:val="24"/>
        </w:rPr>
        <w:t>is regarded as a woman for the purposes of access to communal accommodation.</w:t>
      </w:r>
    </w:p>
    <w:p w14:paraId="4019A30F" w14:textId="77777777" w:rsidR="00F75CA5" w:rsidRPr="00C54D23" w:rsidRDefault="00F75CA5" w:rsidP="00F75CA5">
      <w:pPr>
        <w:pStyle w:val="ListParagraph"/>
        <w:spacing w:line="360" w:lineRule="auto"/>
        <w:jc w:val="both"/>
        <w:rPr>
          <w:sz w:val="20"/>
          <w:szCs w:val="20"/>
        </w:rPr>
      </w:pPr>
    </w:p>
    <w:p w14:paraId="0CE44B7F" w14:textId="511DEE08" w:rsidR="00F75CA5" w:rsidRPr="00380E0D" w:rsidRDefault="00F75CA5" w:rsidP="00FB40E9">
      <w:pPr>
        <w:pStyle w:val="ListParagraph"/>
        <w:numPr>
          <w:ilvl w:val="1"/>
          <w:numId w:val="1"/>
        </w:numPr>
        <w:spacing w:line="360" w:lineRule="auto"/>
        <w:jc w:val="both"/>
        <w:rPr>
          <w:sz w:val="24"/>
          <w:szCs w:val="24"/>
        </w:rPr>
      </w:pPr>
      <w:r w:rsidRPr="00380E0D">
        <w:rPr>
          <w:sz w:val="24"/>
          <w:szCs w:val="24"/>
        </w:rPr>
        <w:t>Such a person who is refused access to communal accommodation</w:t>
      </w:r>
      <w:r w:rsidR="00E1532D" w:rsidRPr="00380E0D">
        <w:rPr>
          <w:sz w:val="24"/>
          <w:szCs w:val="24"/>
        </w:rPr>
        <w:t xml:space="preserve"> within the definition in §3(5) (“</w:t>
      </w:r>
      <w:r w:rsidR="00E1532D" w:rsidRPr="00380E0D">
        <w:rPr>
          <w:i/>
          <w:iCs/>
          <w:sz w:val="24"/>
          <w:szCs w:val="24"/>
        </w:rPr>
        <w:t>residential accommodation which includes dormitories or other shared sleeping accommodation which for reasons of privacy should be used only by persons of the same sex</w:t>
      </w:r>
      <w:r w:rsidR="00E1532D" w:rsidRPr="00380E0D">
        <w:rPr>
          <w:sz w:val="24"/>
          <w:szCs w:val="24"/>
        </w:rPr>
        <w:t xml:space="preserve">”) </w:t>
      </w:r>
      <w:r w:rsidRPr="00380E0D">
        <w:rPr>
          <w:sz w:val="24"/>
          <w:szCs w:val="24"/>
        </w:rPr>
        <w:t>on the grounds that they are intended for women only does not suffer sex discrimination, because they are treated differently as compared with others whose sex is female. That person does however suffer discrimination on grounds of gender reassignment, if only</w:t>
      </w:r>
      <w:r w:rsidR="001E43C9" w:rsidRPr="00380E0D">
        <w:rPr>
          <w:sz w:val="24"/>
          <w:szCs w:val="24"/>
        </w:rPr>
        <w:t xml:space="preserve"> trans </w:t>
      </w:r>
      <w:r w:rsidRPr="00380E0D">
        <w:rPr>
          <w:sz w:val="24"/>
          <w:szCs w:val="24"/>
        </w:rPr>
        <w:t xml:space="preserve">women </w:t>
      </w:r>
      <w:r w:rsidR="001E43C9" w:rsidRPr="00380E0D">
        <w:rPr>
          <w:sz w:val="24"/>
          <w:szCs w:val="24"/>
        </w:rPr>
        <w:t>with the protected characteristic of</w:t>
      </w:r>
      <w:r w:rsidRPr="00380E0D">
        <w:rPr>
          <w:sz w:val="24"/>
          <w:szCs w:val="24"/>
        </w:rPr>
        <w:t xml:space="preserve"> gender reassignment are refused access to the relevant accommodation. Such discrimination is not unlawful, pursuant to §3(1)(a) of </w:t>
      </w:r>
      <w:r w:rsidR="001E43C9" w:rsidRPr="00380E0D">
        <w:rPr>
          <w:sz w:val="24"/>
          <w:szCs w:val="24"/>
        </w:rPr>
        <w:t xml:space="preserve">Sch. </w:t>
      </w:r>
      <w:r w:rsidRPr="00380E0D">
        <w:rPr>
          <w:sz w:val="24"/>
          <w:szCs w:val="24"/>
        </w:rPr>
        <w:t>23, subject to account being taken of various factors including whether the refusal of access is “</w:t>
      </w:r>
      <w:r w:rsidRPr="00380E0D">
        <w:rPr>
          <w:i/>
          <w:iCs/>
          <w:sz w:val="24"/>
          <w:szCs w:val="24"/>
        </w:rPr>
        <w:t>a proportionate means of achieving a legitimate aim</w:t>
      </w:r>
      <w:r w:rsidRPr="00380E0D">
        <w:rPr>
          <w:sz w:val="24"/>
          <w:szCs w:val="24"/>
        </w:rPr>
        <w:t>” (§3(4).</w:t>
      </w:r>
    </w:p>
    <w:p w14:paraId="4BD74186" w14:textId="77777777" w:rsidR="00F75CA5" w:rsidRPr="00C54D23" w:rsidRDefault="00F75CA5" w:rsidP="00FB40E9">
      <w:pPr>
        <w:spacing w:line="360" w:lineRule="auto"/>
        <w:jc w:val="both"/>
        <w:rPr>
          <w:sz w:val="20"/>
          <w:szCs w:val="20"/>
        </w:rPr>
      </w:pPr>
    </w:p>
    <w:p w14:paraId="1BF99962" w14:textId="29D568BC" w:rsidR="00F75CA5" w:rsidRPr="00536BFF" w:rsidRDefault="00F75CA5" w:rsidP="001B7F53">
      <w:pPr>
        <w:pStyle w:val="ListParagraph"/>
        <w:numPr>
          <w:ilvl w:val="0"/>
          <w:numId w:val="1"/>
        </w:numPr>
        <w:spacing w:line="360" w:lineRule="auto"/>
        <w:jc w:val="both"/>
        <w:rPr>
          <w:sz w:val="24"/>
          <w:szCs w:val="24"/>
        </w:rPr>
      </w:pPr>
      <w:bookmarkStart w:id="11" w:name="_Ref180435854"/>
      <w:r w:rsidRPr="00380E0D">
        <w:rPr>
          <w:sz w:val="24"/>
          <w:szCs w:val="24"/>
        </w:rPr>
        <w:t>The correct interpretation of §3 of Sch</w:t>
      </w:r>
      <w:r w:rsidR="00AD0435" w:rsidRPr="00380E0D">
        <w:rPr>
          <w:sz w:val="24"/>
          <w:szCs w:val="24"/>
        </w:rPr>
        <w:t>.</w:t>
      </w:r>
      <w:r w:rsidRPr="00380E0D">
        <w:rPr>
          <w:sz w:val="24"/>
          <w:szCs w:val="24"/>
        </w:rPr>
        <w:t xml:space="preserve"> 23, as set out above, gives rise to practical difficulties in its application. Establishing that accommodation is “</w:t>
      </w:r>
      <w:r w:rsidRPr="00380E0D">
        <w:rPr>
          <w:i/>
          <w:iCs/>
          <w:sz w:val="24"/>
          <w:szCs w:val="24"/>
        </w:rPr>
        <w:t>managed in a way which is as fair as possible to both men and women</w:t>
      </w:r>
      <w:r w:rsidRPr="00380E0D">
        <w:rPr>
          <w:sz w:val="24"/>
          <w:szCs w:val="24"/>
        </w:rPr>
        <w:t xml:space="preserve">” </w:t>
      </w:r>
      <w:r w:rsidRPr="00536BFF">
        <w:rPr>
          <w:sz w:val="24"/>
          <w:szCs w:val="24"/>
        </w:rPr>
        <w:t xml:space="preserve">(§3(2)) can be very challenging in practice and the need to establish such matters could be a significant deterrent to maintaining women-only communal accommodation. As in the case of the single sex service provisions, fairness between men and </w:t>
      </w:r>
      <w:r w:rsidRPr="00536BFF">
        <w:rPr>
          <w:sz w:val="24"/>
          <w:szCs w:val="24"/>
        </w:rPr>
        <w:lastRenderedPageBreak/>
        <w:t xml:space="preserve">women must mean fairness between, on the one hand, the three </w:t>
      </w:r>
      <w:r w:rsidR="00074E2E" w:rsidRPr="00536BFF">
        <w:rPr>
          <w:sz w:val="24"/>
          <w:szCs w:val="24"/>
        </w:rPr>
        <w:t xml:space="preserve">artificial </w:t>
      </w:r>
      <w:r w:rsidRPr="00536BFF">
        <w:rPr>
          <w:sz w:val="24"/>
          <w:szCs w:val="24"/>
        </w:rPr>
        <w:t xml:space="preserve">categories </w:t>
      </w:r>
      <w:r w:rsidR="004762EE" w:rsidRPr="00536BFF">
        <w:rPr>
          <w:sz w:val="24"/>
          <w:szCs w:val="24"/>
        </w:rPr>
        <w:t xml:space="preserve">in </w:t>
      </w:r>
      <w:r w:rsidRPr="00536BFF">
        <w:rPr>
          <w:sz w:val="24"/>
          <w:szCs w:val="24"/>
        </w:rPr>
        <w:t>§</w:t>
      </w:r>
      <w:r w:rsidR="00521FD0" w:rsidRPr="00536BFF">
        <w:rPr>
          <w:sz w:val="24"/>
          <w:szCs w:val="24"/>
        </w:rPr>
        <w:t>4</w:t>
      </w:r>
      <w:r w:rsidR="00D4721E" w:rsidRPr="00536BFF">
        <w:rPr>
          <w:sz w:val="24"/>
          <w:szCs w:val="24"/>
        </w:rPr>
        <w:t>1</w:t>
      </w:r>
      <w:r w:rsidR="00521FD0" w:rsidRPr="00536BFF">
        <w:rPr>
          <w:sz w:val="24"/>
          <w:szCs w:val="24"/>
        </w:rPr>
        <w:t xml:space="preserve"> </w:t>
      </w:r>
      <w:r w:rsidRPr="00536BFF">
        <w:rPr>
          <w:sz w:val="24"/>
          <w:szCs w:val="24"/>
        </w:rPr>
        <w:t>above, and on the other hand the three converse categories of “</w:t>
      </w:r>
      <w:r w:rsidRPr="00536BFF">
        <w:rPr>
          <w:i/>
          <w:iCs/>
          <w:sz w:val="24"/>
          <w:szCs w:val="24"/>
        </w:rPr>
        <w:t>woman</w:t>
      </w:r>
      <w:r w:rsidRPr="00536BFF">
        <w:rPr>
          <w:sz w:val="24"/>
          <w:szCs w:val="24"/>
        </w:rPr>
        <w:t>”.</w:t>
      </w:r>
      <w:bookmarkEnd w:id="11"/>
    </w:p>
    <w:p w14:paraId="1BF6BBA5" w14:textId="77777777" w:rsidR="00BB0417" w:rsidRPr="00536BFF" w:rsidRDefault="00BB0417" w:rsidP="00BB0417">
      <w:pPr>
        <w:pStyle w:val="ListParagraph"/>
        <w:rPr>
          <w:sz w:val="24"/>
          <w:szCs w:val="24"/>
        </w:rPr>
      </w:pPr>
      <w:bookmarkStart w:id="12" w:name="_Ref179832425"/>
    </w:p>
    <w:p w14:paraId="0E018E41" w14:textId="3A22229E" w:rsidR="00BB0417" w:rsidRPr="00536BFF" w:rsidRDefault="00BB0417" w:rsidP="006556E8">
      <w:pPr>
        <w:pStyle w:val="Heading2"/>
        <w:rPr>
          <w:sz w:val="24"/>
          <w:szCs w:val="24"/>
        </w:rPr>
      </w:pPr>
      <w:r w:rsidRPr="00536BFF">
        <w:rPr>
          <w:sz w:val="24"/>
          <w:szCs w:val="24"/>
        </w:rPr>
        <w:t>(4) The Human Rights Act 1998</w:t>
      </w:r>
    </w:p>
    <w:p w14:paraId="6CBAFF5C" w14:textId="6CE8F8F3" w:rsidR="00BB0417" w:rsidRPr="00536BFF" w:rsidRDefault="00BB0417" w:rsidP="00BB0417">
      <w:pPr>
        <w:pStyle w:val="ListParagraph"/>
        <w:numPr>
          <w:ilvl w:val="0"/>
          <w:numId w:val="1"/>
        </w:numPr>
        <w:spacing w:line="360" w:lineRule="auto"/>
        <w:jc w:val="both"/>
        <w:rPr>
          <w:sz w:val="24"/>
          <w:szCs w:val="24"/>
        </w:rPr>
      </w:pPr>
      <w:r w:rsidRPr="00536BFF">
        <w:rPr>
          <w:sz w:val="24"/>
          <w:szCs w:val="24"/>
        </w:rPr>
        <w:t xml:space="preserve">The Commission’s proposed interpretation of the various relevant provisions of the </w:t>
      </w:r>
      <w:proofErr w:type="spellStart"/>
      <w:r w:rsidRPr="00536BFF">
        <w:rPr>
          <w:sz w:val="24"/>
          <w:szCs w:val="24"/>
        </w:rPr>
        <w:t>EqA</w:t>
      </w:r>
      <w:proofErr w:type="spellEnd"/>
      <w:r w:rsidRPr="00536BFF">
        <w:rPr>
          <w:sz w:val="24"/>
          <w:szCs w:val="24"/>
        </w:rPr>
        <w:t xml:space="preserve"> is advanced without reference to the Human Rights Act 1998 (“</w:t>
      </w:r>
      <w:r w:rsidRPr="00536BFF">
        <w:rPr>
          <w:b/>
          <w:bCs/>
          <w:sz w:val="24"/>
          <w:szCs w:val="24"/>
        </w:rPr>
        <w:t>HRA</w:t>
      </w:r>
      <w:r w:rsidRPr="00536BFF">
        <w:rPr>
          <w:sz w:val="24"/>
          <w:szCs w:val="24"/>
        </w:rPr>
        <w:t xml:space="preserve">”).  That is for three reasons.  </w:t>
      </w:r>
      <w:r w:rsidRPr="00536BFF">
        <w:rPr>
          <w:sz w:val="24"/>
          <w:szCs w:val="24"/>
          <w:u w:val="single"/>
        </w:rPr>
        <w:t>First</w:t>
      </w:r>
      <w:r w:rsidRPr="00536BFF">
        <w:rPr>
          <w:sz w:val="24"/>
          <w:szCs w:val="24"/>
        </w:rPr>
        <w:t xml:space="preserve">, even assuming that it </w:t>
      </w:r>
      <w:proofErr w:type="gramStart"/>
      <w:r w:rsidRPr="00536BFF">
        <w:rPr>
          <w:sz w:val="24"/>
          <w:szCs w:val="24"/>
        </w:rPr>
        <w:t>were</w:t>
      </w:r>
      <w:proofErr w:type="gramEnd"/>
      <w:r w:rsidRPr="00536BFF">
        <w:rPr>
          <w:sz w:val="24"/>
          <w:szCs w:val="24"/>
        </w:rPr>
        <w:t xml:space="preserve"> applicable, it is not necessary to resort to the principle of interpretation in s. 3 HRA, in order to justify the conclusion that the second definition is the one adopted in the </w:t>
      </w:r>
      <w:proofErr w:type="spellStart"/>
      <w:r w:rsidRPr="00536BFF">
        <w:rPr>
          <w:sz w:val="24"/>
          <w:szCs w:val="24"/>
        </w:rPr>
        <w:t>EqA</w:t>
      </w:r>
      <w:proofErr w:type="spellEnd"/>
      <w:r w:rsidRPr="00536BFF">
        <w:rPr>
          <w:sz w:val="24"/>
          <w:szCs w:val="24"/>
        </w:rPr>
        <w:t xml:space="preserve">.  </w:t>
      </w:r>
      <w:r w:rsidRPr="00536BFF">
        <w:rPr>
          <w:sz w:val="24"/>
          <w:szCs w:val="24"/>
          <w:u w:val="single"/>
        </w:rPr>
        <w:t>Second</w:t>
      </w:r>
      <w:r w:rsidRPr="00536BFF">
        <w:rPr>
          <w:sz w:val="24"/>
          <w:szCs w:val="24"/>
        </w:rPr>
        <w:t xml:space="preserve">, in areas of difficulty of interpretation, notably ss. 17 and 18 </w:t>
      </w:r>
      <w:proofErr w:type="spellStart"/>
      <w:r w:rsidRPr="00536BFF">
        <w:rPr>
          <w:sz w:val="24"/>
          <w:szCs w:val="24"/>
        </w:rPr>
        <w:t>EqA</w:t>
      </w:r>
      <w:proofErr w:type="spellEnd"/>
      <w:r w:rsidRPr="00536BFF">
        <w:rPr>
          <w:sz w:val="24"/>
          <w:szCs w:val="24"/>
        </w:rPr>
        <w:t xml:space="preserve">, even assuming that it </w:t>
      </w:r>
      <w:proofErr w:type="gramStart"/>
      <w:r w:rsidRPr="00536BFF">
        <w:rPr>
          <w:sz w:val="24"/>
          <w:szCs w:val="24"/>
        </w:rPr>
        <w:t>were</w:t>
      </w:r>
      <w:proofErr w:type="gramEnd"/>
      <w:r w:rsidRPr="00536BFF">
        <w:rPr>
          <w:sz w:val="24"/>
          <w:szCs w:val="24"/>
        </w:rPr>
        <w:t xml:space="preserve"> applicable, s. 3 HRA would not compel the unsatisfactory conclusion that</w:t>
      </w:r>
      <w:r w:rsidRPr="00380E0D">
        <w:rPr>
          <w:sz w:val="24"/>
          <w:szCs w:val="24"/>
        </w:rPr>
        <w:t xml:space="preserve"> “</w:t>
      </w:r>
      <w:r w:rsidRPr="00380E0D">
        <w:rPr>
          <w:i/>
          <w:iCs/>
          <w:sz w:val="24"/>
          <w:szCs w:val="24"/>
        </w:rPr>
        <w:t>woman</w:t>
      </w:r>
      <w:r w:rsidRPr="00380E0D">
        <w:rPr>
          <w:sz w:val="24"/>
          <w:szCs w:val="24"/>
        </w:rPr>
        <w:t xml:space="preserve">” should have different meanings </w:t>
      </w:r>
      <w:r w:rsidR="00E1532D" w:rsidRPr="00380E0D">
        <w:rPr>
          <w:sz w:val="24"/>
          <w:szCs w:val="24"/>
        </w:rPr>
        <w:t>across the</w:t>
      </w:r>
      <w:r w:rsidRPr="00380E0D">
        <w:rPr>
          <w:sz w:val="24"/>
          <w:szCs w:val="24"/>
        </w:rPr>
        <w:t xml:space="preserve"> </w:t>
      </w:r>
      <w:proofErr w:type="spellStart"/>
      <w:r w:rsidRPr="00380E0D">
        <w:rPr>
          <w:sz w:val="24"/>
          <w:szCs w:val="24"/>
        </w:rPr>
        <w:t>EqA</w:t>
      </w:r>
      <w:proofErr w:type="spellEnd"/>
      <w:r w:rsidRPr="00380E0D">
        <w:rPr>
          <w:sz w:val="24"/>
          <w:szCs w:val="24"/>
        </w:rPr>
        <w:t xml:space="preserve">.  </w:t>
      </w:r>
      <w:r w:rsidRPr="00380E0D">
        <w:rPr>
          <w:sz w:val="24"/>
          <w:szCs w:val="24"/>
          <w:u w:val="single"/>
        </w:rPr>
        <w:t>Third</w:t>
      </w:r>
      <w:r w:rsidRPr="00380E0D">
        <w:rPr>
          <w:sz w:val="24"/>
          <w:szCs w:val="24"/>
        </w:rPr>
        <w:t xml:space="preserve">, and in any event, the Commission is sceptical that Convention rights provide </w:t>
      </w:r>
      <w:r w:rsidR="00F90F16" w:rsidRPr="00380E0D">
        <w:rPr>
          <w:sz w:val="24"/>
          <w:szCs w:val="24"/>
        </w:rPr>
        <w:t xml:space="preserve">a useful </w:t>
      </w:r>
      <w:r w:rsidR="00A446AF" w:rsidRPr="00380E0D">
        <w:rPr>
          <w:sz w:val="24"/>
          <w:szCs w:val="24"/>
        </w:rPr>
        <w:t xml:space="preserve">framework, or tool, by which the Court may resolve the contentious issues in this case.  There are, after all, two competing strands of rights at issue:  the rights of trans people, as recognised, for example, in </w:t>
      </w:r>
      <w:r w:rsidR="00A446AF" w:rsidRPr="00380E0D">
        <w:rPr>
          <w:i/>
          <w:iCs/>
          <w:sz w:val="24"/>
          <w:szCs w:val="24"/>
          <w:u w:val="single"/>
        </w:rPr>
        <w:t>Goodwin</w:t>
      </w:r>
      <w:r w:rsidR="00A446AF" w:rsidRPr="00380E0D">
        <w:rPr>
          <w:sz w:val="24"/>
          <w:szCs w:val="24"/>
        </w:rPr>
        <w:t>;  and the rights of women to be protected from violence</w:t>
      </w:r>
      <w:r w:rsidR="00E1532D" w:rsidRPr="00380E0D">
        <w:rPr>
          <w:sz w:val="24"/>
          <w:szCs w:val="24"/>
        </w:rPr>
        <w:t xml:space="preserve"> by men</w:t>
      </w:r>
      <w:r w:rsidR="00A446AF" w:rsidRPr="00380E0D">
        <w:rPr>
          <w:sz w:val="24"/>
          <w:szCs w:val="24"/>
        </w:rPr>
        <w:t xml:space="preserve"> (</w:t>
      </w:r>
      <w:proofErr w:type="spellStart"/>
      <w:r w:rsidR="00A446AF" w:rsidRPr="00380E0D">
        <w:rPr>
          <w:sz w:val="24"/>
          <w:szCs w:val="24"/>
        </w:rPr>
        <w:t>eg</w:t>
      </w:r>
      <w:proofErr w:type="spellEnd"/>
      <w:r w:rsidR="00A446AF" w:rsidRPr="00380E0D">
        <w:rPr>
          <w:sz w:val="24"/>
          <w:szCs w:val="24"/>
        </w:rPr>
        <w:t xml:space="preserve"> </w:t>
      </w:r>
      <w:r w:rsidR="00A446AF" w:rsidRPr="00380E0D">
        <w:rPr>
          <w:i/>
          <w:iCs/>
          <w:sz w:val="24"/>
          <w:szCs w:val="24"/>
          <w:u w:val="single"/>
        </w:rPr>
        <w:t>Luca v Moldova</w:t>
      </w:r>
      <w:r w:rsidR="00A446AF" w:rsidRPr="00380E0D">
        <w:rPr>
          <w:sz w:val="24"/>
          <w:szCs w:val="24"/>
        </w:rPr>
        <w:t xml:space="preserve"> (2024) 79 EHRR 2, §50) and from having to share certain spaces with trans women</w:t>
      </w:r>
      <w:r w:rsidR="002B7622" w:rsidRPr="00380E0D">
        <w:rPr>
          <w:sz w:val="24"/>
          <w:szCs w:val="24"/>
        </w:rPr>
        <w:t xml:space="preserve"> and men</w:t>
      </w:r>
      <w:r w:rsidR="00A446AF" w:rsidRPr="00380E0D">
        <w:rPr>
          <w:sz w:val="24"/>
          <w:szCs w:val="24"/>
        </w:rPr>
        <w:t xml:space="preserve">, thereby creating embarrassment, shame and potentially an increased risk of violence (see </w:t>
      </w:r>
      <w:r w:rsidR="00A446AF" w:rsidRPr="00380E0D">
        <w:rPr>
          <w:i/>
          <w:iCs/>
          <w:sz w:val="24"/>
          <w:szCs w:val="24"/>
          <w:u w:val="single"/>
        </w:rPr>
        <w:t>FDJ v Secretary of State for Justice</w:t>
      </w:r>
      <w:r w:rsidR="00A446AF" w:rsidRPr="00380E0D">
        <w:rPr>
          <w:sz w:val="24"/>
          <w:szCs w:val="24"/>
        </w:rPr>
        <w:t xml:space="preserve"> [2021] EWHC 1746 (Admin), [2021] 1 WLR 5265, §§76-78, 98 and 100</w:t>
      </w:r>
      <w:r w:rsidR="008155E8">
        <w:rPr>
          <w:sz w:val="24"/>
          <w:szCs w:val="24"/>
        </w:rPr>
        <w:t xml:space="preserve"> </w:t>
      </w:r>
      <w:r w:rsidR="008155E8" w:rsidRPr="008155E8">
        <w:rPr>
          <w:color w:val="FF0000"/>
          <w:sz w:val="24"/>
          <w:szCs w:val="24"/>
        </w:rPr>
        <w:t>[EF</w:t>
      </w:r>
      <w:r w:rsidR="003706F3">
        <w:rPr>
          <w:color w:val="FF0000"/>
          <w:sz w:val="24"/>
          <w:szCs w:val="24"/>
        </w:rPr>
        <w:t>.11</w:t>
      </w:r>
      <w:r w:rsidR="007057BB">
        <w:rPr>
          <w:color w:val="FF0000"/>
          <w:sz w:val="24"/>
          <w:szCs w:val="24"/>
        </w:rPr>
        <w:t>96</w:t>
      </w:r>
      <w:r w:rsidR="008155E8" w:rsidRPr="008155E8">
        <w:rPr>
          <w:color w:val="FF0000"/>
          <w:sz w:val="24"/>
          <w:szCs w:val="24"/>
        </w:rPr>
        <w:t>]</w:t>
      </w:r>
      <w:r w:rsidR="00A446AF" w:rsidRPr="00380E0D">
        <w:rPr>
          <w:sz w:val="24"/>
          <w:szCs w:val="24"/>
        </w:rPr>
        <w:t xml:space="preserve">).  </w:t>
      </w:r>
      <w:r w:rsidR="004867AD" w:rsidRPr="00380E0D">
        <w:rPr>
          <w:sz w:val="24"/>
          <w:szCs w:val="24"/>
        </w:rPr>
        <w:t xml:space="preserve">It is for Parliament to decide, </w:t>
      </w:r>
      <w:r w:rsidR="00521FD0">
        <w:rPr>
          <w:sz w:val="24"/>
          <w:szCs w:val="24"/>
        </w:rPr>
        <w:t xml:space="preserve">against the background of </w:t>
      </w:r>
      <w:r w:rsidR="00521FD0" w:rsidRPr="00536BFF">
        <w:rPr>
          <w:sz w:val="24"/>
          <w:szCs w:val="24"/>
        </w:rPr>
        <w:t xml:space="preserve">the HRA, </w:t>
      </w:r>
      <w:r w:rsidR="004867AD" w:rsidRPr="00536BFF">
        <w:rPr>
          <w:sz w:val="24"/>
          <w:szCs w:val="24"/>
        </w:rPr>
        <w:t>how these competing strands of rights should be reconciled.</w:t>
      </w:r>
    </w:p>
    <w:bookmarkEnd w:id="12"/>
    <w:p w14:paraId="22DBFAB8" w14:textId="77777777" w:rsidR="00074E3F" w:rsidRDefault="00074E3F" w:rsidP="00074E3F">
      <w:pPr>
        <w:spacing w:line="360" w:lineRule="auto"/>
        <w:ind w:left="360"/>
        <w:jc w:val="both"/>
        <w:rPr>
          <w:sz w:val="24"/>
          <w:szCs w:val="24"/>
        </w:rPr>
      </w:pPr>
    </w:p>
    <w:p w14:paraId="38A7C4FE" w14:textId="77777777" w:rsidR="00DC0440" w:rsidRPr="00536BFF" w:rsidRDefault="00DC0440" w:rsidP="00074E3F">
      <w:pPr>
        <w:spacing w:line="360" w:lineRule="auto"/>
        <w:ind w:left="360"/>
        <w:jc w:val="both"/>
        <w:rPr>
          <w:sz w:val="24"/>
          <w:szCs w:val="24"/>
        </w:rPr>
      </w:pPr>
    </w:p>
    <w:p w14:paraId="643FDE9C" w14:textId="1278C97A" w:rsidR="00074E3F" w:rsidRPr="00536BFF" w:rsidRDefault="00013014" w:rsidP="00074E3F">
      <w:pPr>
        <w:pStyle w:val="Heading1"/>
        <w:rPr>
          <w:rFonts w:ascii="Garamond" w:hAnsi="Garamond"/>
          <w:sz w:val="24"/>
          <w:szCs w:val="24"/>
        </w:rPr>
      </w:pPr>
      <w:r w:rsidRPr="00536BFF">
        <w:rPr>
          <w:rFonts w:ascii="Garamond" w:hAnsi="Garamond"/>
          <w:sz w:val="24"/>
          <w:szCs w:val="24"/>
        </w:rPr>
        <w:t>D</w:t>
      </w:r>
      <w:r w:rsidR="003606C0" w:rsidRPr="00536BFF">
        <w:rPr>
          <w:rFonts w:ascii="Garamond" w:hAnsi="Garamond"/>
          <w:sz w:val="24"/>
          <w:szCs w:val="24"/>
        </w:rPr>
        <w:t>:  CONCLUSION</w:t>
      </w:r>
    </w:p>
    <w:p w14:paraId="46B706A0" w14:textId="173D17D2" w:rsidR="00973C55" w:rsidRPr="00380E0D" w:rsidRDefault="00074E3F" w:rsidP="00FB40E9">
      <w:pPr>
        <w:pStyle w:val="ListParagraph"/>
        <w:numPr>
          <w:ilvl w:val="0"/>
          <w:numId w:val="1"/>
        </w:numPr>
        <w:spacing w:line="360" w:lineRule="auto"/>
        <w:jc w:val="both"/>
        <w:rPr>
          <w:sz w:val="24"/>
          <w:szCs w:val="24"/>
        </w:rPr>
      </w:pPr>
      <w:r w:rsidRPr="00536BFF">
        <w:rPr>
          <w:sz w:val="24"/>
          <w:szCs w:val="24"/>
        </w:rPr>
        <w:t xml:space="preserve">For the reasons summarised above it is the Commission’s position that the second definition </w:t>
      </w:r>
      <w:r w:rsidR="00016BEE" w:rsidRPr="00536BFF">
        <w:rPr>
          <w:sz w:val="24"/>
          <w:szCs w:val="24"/>
        </w:rPr>
        <w:t>is correct in law</w:t>
      </w:r>
      <w:r w:rsidRPr="00536BFF">
        <w:rPr>
          <w:sz w:val="24"/>
          <w:szCs w:val="24"/>
        </w:rPr>
        <w:t xml:space="preserve">.  The </w:t>
      </w:r>
      <w:r w:rsidR="00F0175D" w:rsidRPr="00536BFF">
        <w:rPr>
          <w:sz w:val="24"/>
          <w:szCs w:val="24"/>
        </w:rPr>
        <w:t>difficulties</w:t>
      </w:r>
      <w:r w:rsidRPr="00536BFF">
        <w:rPr>
          <w:sz w:val="24"/>
          <w:szCs w:val="24"/>
        </w:rPr>
        <w:t xml:space="preserve"> identified above in relation </w:t>
      </w:r>
      <w:r w:rsidR="00A519F2" w:rsidRPr="00536BFF">
        <w:rPr>
          <w:sz w:val="24"/>
          <w:szCs w:val="24"/>
        </w:rPr>
        <w:t xml:space="preserve">to the application of the </w:t>
      </w:r>
      <w:proofErr w:type="spellStart"/>
      <w:r w:rsidR="00A519F2" w:rsidRPr="00536BFF">
        <w:rPr>
          <w:sz w:val="24"/>
          <w:szCs w:val="24"/>
        </w:rPr>
        <w:t>EqA</w:t>
      </w:r>
      <w:proofErr w:type="spellEnd"/>
      <w:r w:rsidR="00A519F2" w:rsidRPr="00536BFF">
        <w:rPr>
          <w:sz w:val="24"/>
          <w:szCs w:val="24"/>
        </w:rPr>
        <w:t xml:space="preserve"> </w:t>
      </w:r>
      <w:proofErr w:type="gramStart"/>
      <w:r w:rsidR="00A519F2" w:rsidRPr="00536BFF">
        <w:rPr>
          <w:sz w:val="24"/>
          <w:szCs w:val="24"/>
        </w:rPr>
        <w:t>in light of</w:t>
      </w:r>
      <w:proofErr w:type="gramEnd"/>
      <w:r w:rsidR="00A519F2" w:rsidRPr="00536BFF">
        <w:rPr>
          <w:sz w:val="24"/>
          <w:szCs w:val="24"/>
        </w:rPr>
        <w:t xml:space="preserve"> this definition</w:t>
      </w:r>
      <w:r w:rsidR="00A519F2" w:rsidRPr="00380E0D">
        <w:rPr>
          <w:sz w:val="24"/>
          <w:szCs w:val="24"/>
        </w:rPr>
        <w:t xml:space="preserve"> are </w:t>
      </w:r>
      <w:r w:rsidR="00DC0440" w:rsidRPr="00DC0440">
        <w:rPr>
          <w:sz w:val="24"/>
          <w:szCs w:val="24"/>
        </w:rPr>
        <w:t xml:space="preserve">profound and significantly impair the proper functioning of the </w:t>
      </w:r>
      <w:proofErr w:type="spellStart"/>
      <w:r w:rsidR="00DC0440" w:rsidRPr="00DC0440">
        <w:rPr>
          <w:sz w:val="24"/>
          <w:szCs w:val="24"/>
        </w:rPr>
        <w:t>EqA</w:t>
      </w:r>
      <w:proofErr w:type="spellEnd"/>
      <w:r w:rsidR="00DC0440">
        <w:rPr>
          <w:sz w:val="24"/>
          <w:szCs w:val="24"/>
        </w:rPr>
        <w:t>,</w:t>
      </w:r>
      <w:r w:rsidR="00A519F2" w:rsidRPr="00380E0D">
        <w:rPr>
          <w:sz w:val="24"/>
          <w:szCs w:val="24"/>
        </w:rPr>
        <w:t xml:space="preserve"> but</w:t>
      </w:r>
      <w:r w:rsidR="009E1A67" w:rsidRPr="00380E0D">
        <w:rPr>
          <w:sz w:val="24"/>
          <w:szCs w:val="24"/>
        </w:rPr>
        <w:t>,</w:t>
      </w:r>
      <w:r w:rsidR="00A519F2" w:rsidRPr="00380E0D">
        <w:rPr>
          <w:sz w:val="24"/>
          <w:szCs w:val="24"/>
        </w:rPr>
        <w:t xml:space="preserve"> ultimately</w:t>
      </w:r>
      <w:r w:rsidR="00F0175D" w:rsidRPr="00380E0D">
        <w:rPr>
          <w:sz w:val="24"/>
          <w:szCs w:val="24"/>
        </w:rPr>
        <w:t>,</w:t>
      </w:r>
      <w:r w:rsidR="00A519F2" w:rsidRPr="00380E0D">
        <w:rPr>
          <w:sz w:val="24"/>
          <w:szCs w:val="24"/>
        </w:rPr>
        <w:t xml:space="preserve"> they are for Parliament to resolve.</w:t>
      </w:r>
      <w:r w:rsidR="00F0175D" w:rsidRPr="00380E0D">
        <w:rPr>
          <w:sz w:val="24"/>
          <w:szCs w:val="24"/>
        </w:rPr>
        <w:t xml:space="preserve">  In the Commission’s view, the arguments ventilated, and to be ventilated, on this appeal highlight the importance </w:t>
      </w:r>
      <w:r w:rsidR="00521FD0">
        <w:rPr>
          <w:sz w:val="24"/>
          <w:szCs w:val="24"/>
        </w:rPr>
        <w:t xml:space="preserve">and the urgency </w:t>
      </w:r>
      <w:r w:rsidR="00F0175D" w:rsidRPr="00380E0D">
        <w:rPr>
          <w:sz w:val="24"/>
          <w:szCs w:val="24"/>
        </w:rPr>
        <w:t xml:space="preserve">of Parliament </w:t>
      </w:r>
      <w:proofErr w:type="gramStart"/>
      <w:r w:rsidR="006556E8" w:rsidRPr="00380E0D">
        <w:rPr>
          <w:sz w:val="24"/>
          <w:szCs w:val="24"/>
        </w:rPr>
        <w:t>giving careful consideration to</w:t>
      </w:r>
      <w:proofErr w:type="gramEnd"/>
      <w:r w:rsidR="006556E8" w:rsidRPr="00380E0D">
        <w:rPr>
          <w:sz w:val="24"/>
          <w:szCs w:val="24"/>
        </w:rPr>
        <w:t xml:space="preserve"> </w:t>
      </w:r>
      <w:r w:rsidR="00F0175D" w:rsidRPr="00380E0D">
        <w:rPr>
          <w:sz w:val="24"/>
          <w:szCs w:val="24"/>
        </w:rPr>
        <w:t xml:space="preserve">the drafting of the </w:t>
      </w:r>
      <w:proofErr w:type="spellStart"/>
      <w:r w:rsidR="00F0175D" w:rsidRPr="00380E0D">
        <w:rPr>
          <w:sz w:val="24"/>
          <w:szCs w:val="24"/>
        </w:rPr>
        <w:t>EqA</w:t>
      </w:r>
      <w:proofErr w:type="spellEnd"/>
      <w:r w:rsidR="00F0175D" w:rsidRPr="00380E0D">
        <w:rPr>
          <w:sz w:val="24"/>
          <w:szCs w:val="24"/>
        </w:rPr>
        <w:t xml:space="preserve"> and the balance which it currently strikes (</w:t>
      </w:r>
      <w:r w:rsidR="00F0175D" w:rsidRPr="00380E0D">
        <w:rPr>
          <w:i/>
          <w:iCs/>
          <w:sz w:val="24"/>
          <w:szCs w:val="24"/>
        </w:rPr>
        <w:t>inter alia</w:t>
      </w:r>
      <w:r w:rsidR="00F0175D" w:rsidRPr="00380E0D">
        <w:rPr>
          <w:sz w:val="24"/>
          <w:szCs w:val="24"/>
        </w:rPr>
        <w:t>) between the rights of women and those of transgender persons.</w:t>
      </w:r>
    </w:p>
    <w:p w14:paraId="4779E91D" w14:textId="77777777" w:rsidR="00D4721E" w:rsidRDefault="00D4721E" w:rsidP="00973C55">
      <w:pPr>
        <w:spacing w:line="360" w:lineRule="auto"/>
        <w:jc w:val="right"/>
        <w:rPr>
          <w:b/>
          <w:bCs/>
          <w:sz w:val="24"/>
          <w:szCs w:val="24"/>
        </w:rPr>
      </w:pPr>
    </w:p>
    <w:p w14:paraId="532E7E2F" w14:textId="77777777" w:rsidR="00D4721E" w:rsidRDefault="00D4721E" w:rsidP="00973C55">
      <w:pPr>
        <w:spacing w:line="360" w:lineRule="auto"/>
        <w:jc w:val="right"/>
        <w:rPr>
          <w:b/>
          <w:bCs/>
          <w:sz w:val="24"/>
          <w:szCs w:val="24"/>
        </w:rPr>
      </w:pPr>
    </w:p>
    <w:p w14:paraId="1BF983F5" w14:textId="77777777" w:rsidR="00D4721E" w:rsidRDefault="00D4721E" w:rsidP="00973C55">
      <w:pPr>
        <w:spacing w:line="360" w:lineRule="auto"/>
        <w:jc w:val="right"/>
        <w:rPr>
          <w:b/>
          <w:bCs/>
          <w:sz w:val="24"/>
          <w:szCs w:val="24"/>
        </w:rPr>
      </w:pPr>
    </w:p>
    <w:p w14:paraId="380C20BD" w14:textId="77777777" w:rsidR="00D4721E" w:rsidRDefault="00D4721E" w:rsidP="00973C55">
      <w:pPr>
        <w:spacing w:line="360" w:lineRule="auto"/>
        <w:jc w:val="right"/>
        <w:rPr>
          <w:b/>
          <w:bCs/>
          <w:sz w:val="24"/>
          <w:szCs w:val="24"/>
        </w:rPr>
      </w:pPr>
    </w:p>
    <w:p w14:paraId="29398024" w14:textId="3137783A" w:rsidR="00973C55" w:rsidRPr="00380E0D" w:rsidRDefault="00A15CC3" w:rsidP="00973C55">
      <w:pPr>
        <w:spacing w:line="360" w:lineRule="auto"/>
        <w:jc w:val="right"/>
        <w:rPr>
          <w:b/>
          <w:bCs/>
          <w:sz w:val="24"/>
          <w:szCs w:val="24"/>
        </w:rPr>
      </w:pPr>
      <w:r w:rsidRPr="00380E0D">
        <w:rPr>
          <w:b/>
          <w:bCs/>
          <w:sz w:val="24"/>
          <w:szCs w:val="24"/>
        </w:rPr>
        <w:lastRenderedPageBreak/>
        <w:t>JASON COPPEL KC</w:t>
      </w:r>
    </w:p>
    <w:p w14:paraId="509132D3" w14:textId="77777777" w:rsidR="00D4721E" w:rsidRDefault="00D4721E" w:rsidP="00973C55">
      <w:pPr>
        <w:spacing w:line="360" w:lineRule="auto"/>
        <w:jc w:val="right"/>
        <w:rPr>
          <w:b/>
          <w:bCs/>
          <w:sz w:val="24"/>
          <w:szCs w:val="24"/>
        </w:rPr>
      </w:pPr>
    </w:p>
    <w:p w14:paraId="2270FEE8" w14:textId="10560F2F" w:rsidR="00973C55" w:rsidRPr="00380E0D" w:rsidRDefault="00A15CC3" w:rsidP="00973C55">
      <w:pPr>
        <w:spacing w:line="360" w:lineRule="auto"/>
        <w:jc w:val="right"/>
        <w:rPr>
          <w:b/>
          <w:bCs/>
          <w:sz w:val="24"/>
          <w:szCs w:val="24"/>
        </w:rPr>
      </w:pPr>
      <w:r w:rsidRPr="00380E0D">
        <w:rPr>
          <w:b/>
          <w:bCs/>
          <w:sz w:val="24"/>
          <w:szCs w:val="24"/>
        </w:rPr>
        <w:t>ZOE GANNON</w:t>
      </w:r>
    </w:p>
    <w:p w14:paraId="15A009D2" w14:textId="2C8159F9" w:rsidR="00973C55" w:rsidRPr="00380E0D" w:rsidRDefault="00973C55" w:rsidP="000E53C6">
      <w:pPr>
        <w:spacing w:line="360" w:lineRule="auto"/>
        <w:jc w:val="right"/>
        <w:rPr>
          <w:b/>
          <w:bCs/>
          <w:sz w:val="24"/>
          <w:szCs w:val="24"/>
        </w:rPr>
      </w:pPr>
      <w:r w:rsidRPr="00380E0D">
        <w:rPr>
          <w:b/>
          <w:bCs/>
          <w:sz w:val="24"/>
          <w:szCs w:val="24"/>
        </w:rPr>
        <w:t xml:space="preserve">11KBW </w:t>
      </w:r>
    </w:p>
    <w:p w14:paraId="4B538DB3" w14:textId="424AC0E4" w:rsidR="00D0657E" w:rsidRDefault="000E53C6" w:rsidP="00FB40E9">
      <w:pPr>
        <w:spacing w:line="360" w:lineRule="auto"/>
        <w:jc w:val="right"/>
        <w:rPr>
          <w:b/>
          <w:bCs/>
          <w:sz w:val="24"/>
          <w:szCs w:val="24"/>
        </w:rPr>
      </w:pPr>
      <w:r w:rsidRPr="00380E0D">
        <w:rPr>
          <w:b/>
          <w:bCs/>
          <w:sz w:val="24"/>
          <w:szCs w:val="24"/>
        </w:rPr>
        <w:t>21</w:t>
      </w:r>
      <w:r w:rsidR="00341167" w:rsidRPr="00380E0D">
        <w:rPr>
          <w:b/>
          <w:bCs/>
          <w:sz w:val="24"/>
          <w:szCs w:val="24"/>
        </w:rPr>
        <w:t xml:space="preserve"> October 2024</w:t>
      </w:r>
    </w:p>
    <w:p w14:paraId="703E3DAC" w14:textId="577BEC59" w:rsidR="00A63609" w:rsidRPr="00A63609" w:rsidRDefault="00A63609" w:rsidP="00FB40E9">
      <w:pPr>
        <w:spacing w:line="360" w:lineRule="auto"/>
        <w:jc w:val="right"/>
        <w:rPr>
          <w:color w:val="FF0000"/>
          <w:sz w:val="24"/>
          <w:szCs w:val="24"/>
        </w:rPr>
      </w:pPr>
      <w:r>
        <w:rPr>
          <w:b/>
          <w:bCs/>
          <w:color w:val="FF0000"/>
          <w:sz w:val="24"/>
          <w:szCs w:val="24"/>
        </w:rPr>
        <w:t xml:space="preserve">Page </w:t>
      </w:r>
      <w:r w:rsidRPr="00A63609">
        <w:rPr>
          <w:b/>
          <w:bCs/>
          <w:color w:val="FF0000"/>
          <w:sz w:val="24"/>
          <w:szCs w:val="24"/>
        </w:rPr>
        <w:t xml:space="preserve">References </w:t>
      </w:r>
      <w:r w:rsidR="007057BB">
        <w:rPr>
          <w:b/>
          <w:bCs/>
          <w:color w:val="FF0000"/>
          <w:sz w:val="24"/>
          <w:szCs w:val="24"/>
        </w:rPr>
        <w:t>5</w:t>
      </w:r>
      <w:r w:rsidRPr="00A63609">
        <w:rPr>
          <w:b/>
          <w:bCs/>
          <w:color w:val="FF0000"/>
          <w:sz w:val="24"/>
          <w:szCs w:val="24"/>
        </w:rPr>
        <w:t xml:space="preserve"> November 2024</w:t>
      </w:r>
    </w:p>
    <w:sectPr w:rsidR="00A63609" w:rsidRPr="00A63609" w:rsidSect="00A15CC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006C3" w14:textId="77777777" w:rsidR="00DF630C" w:rsidRDefault="00DF630C" w:rsidP="0013412F">
      <w:r>
        <w:separator/>
      </w:r>
    </w:p>
  </w:endnote>
  <w:endnote w:type="continuationSeparator" w:id="0">
    <w:p w14:paraId="7F28DD44" w14:textId="77777777" w:rsidR="00DF630C" w:rsidRDefault="00DF630C" w:rsidP="0013412F">
      <w:r>
        <w:continuationSeparator/>
      </w:r>
    </w:p>
  </w:endnote>
  <w:endnote w:type="continuationNotice" w:id="1">
    <w:p w14:paraId="47F7D6AB" w14:textId="77777777" w:rsidR="00DF630C" w:rsidRDefault="00DF63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6106557"/>
      <w:docPartObj>
        <w:docPartGallery w:val="Page Numbers (Bottom of Page)"/>
        <w:docPartUnique/>
      </w:docPartObj>
    </w:sdtPr>
    <w:sdtContent>
      <w:p w14:paraId="01CE7C78" w14:textId="03E8763E" w:rsidR="005C5D09" w:rsidRDefault="005C5D09" w:rsidP="003606C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C081F">
          <w:rPr>
            <w:rStyle w:val="PageNumber"/>
            <w:noProof/>
          </w:rPr>
          <w:t>1</w:t>
        </w:r>
        <w:r>
          <w:rPr>
            <w:rStyle w:val="PageNumber"/>
          </w:rPr>
          <w:fldChar w:fldCharType="end"/>
        </w:r>
      </w:p>
    </w:sdtContent>
  </w:sdt>
  <w:p w14:paraId="6B2B93B5" w14:textId="77777777" w:rsidR="005C5D09" w:rsidRDefault="005C5D09" w:rsidP="005C5D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7978459"/>
      <w:docPartObj>
        <w:docPartGallery w:val="Page Numbers (Bottom of Page)"/>
        <w:docPartUnique/>
      </w:docPartObj>
    </w:sdtPr>
    <w:sdtContent>
      <w:p w14:paraId="4A412344" w14:textId="05A1E94C" w:rsidR="003606C0" w:rsidRPr="003606C0" w:rsidRDefault="003606C0" w:rsidP="003606C0">
        <w:pPr>
          <w:pStyle w:val="Footer"/>
          <w:framePr w:wrap="none" w:vAnchor="text" w:hAnchor="margin" w:xAlign="right" w:y="1"/>
          <w:jc w:val="center"/>
          <w:rPr>
            <w:rStyle w:val="PageNumber"/>
          </w:rPr>
        </w:pPr>
        <w:r w:rsidRPr="003606C0">
          <w:rPr>
            <w:rStyle w:val="PageNumber"/>
          </w:rPr>
          <w:fldChar w:fldCharType="begin"/>
        </w:r>
        <w:r w:rsidRPr="003606C0">
          <w:rPr>
            <w:rStyle w:val="PageNumber"/>
          </w:rPr>
          <w:instrText xml:space="preserve"> PAGE </w:instrText>
        </w:r>
        <w:r w:rsidRPr="003606C0">
          <w:rPr>
            <w:rStyle w:val="PageNumber"/>
          </w:rPr>
          <w:fldChar w:fldCharType="separate"/>
        </w:r>
        <w:r w:rsidRPr="003606C0">
          <w:rPr>
            <w:rStyle w:val="PageNumber"/>
            <w:noProof/>
          </w:rPr>
          <w:t>1</w:t>
        </w:r>
        <w:r w:rsidRPr="003606C0">
          <w:rPr>
            <w:rStyle w:val="PageNumber"/>
          </w:rPr>
          <w:fldChar w:fldCharType="end"/>
        </w:r>
      </w:p>
    </w:sdtContent>
  </w:sdt>
  <w:p w14:paraId="0BC43D22" w14:textId="7316B5F6" w:rsidR="00A15CC3" w:rsidRPr="003606C0" w:rsidRDefault="00A15CC3" w:rsidP="003606C0">
    <w:pPr>
      <w:pStyle w:val="Footer"/>
      <w:framePr w:wrap="none" w:vAnchor="text" w:hAnchor="margin" w:xAlign="right" w:y="1"/>
      <w:ind w:right="360"/>
      <w:jc w:val="center"/>
      <w:rPr>
        <w:rStyle w:val="PageNumber"/>
      </w:rPr>
    </w:pPr>
  </w:p>
  <w:p w14:paraId="25464965" w14:textId="1B7921BE" w:rsidR="005C5D09" w:rsidRPr="003606C0" w:rsidRDefault="005C5D09" w:rsidP="003606C0">
    <w:pPr>
      <w:pStyle w:val="Footer"/>
      <w:framePr w:wrap="none" w:vAnchor="text" w:hAnchor="margin" w:xAlign="right" w:y="1"/>
      <w:ind w:right="360"/>
      <w:jc w:val="center"/>
      <w:rPr>
        <w:rStyle w:val="PageNumber"/>
      </w:rPr>
    </w:pPr>
  </w:p>
  <w:p w14:paraId="10764BCA" w14:textId="77777777" w:rsidR="005C5D09" w:rsidRPr="005C5D09" w:rsidRDefault="005C5D09" w:rsidP="005C5D09">
    <w:pPr>
      <w:pStyle w:val="Footer"/>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CAA4D" w14:textId="77777777" w:rsidR="00DF630C" w:rsidRDefault="00DF630C" w:rsidP="0013412F">
      <w:r>
        <w:separator/>
      </w:r>
    </w:p>
  </w:footnote>
  <w:footnote w:type="continuationSeparator" w:id="0">
    <w:p w14:paraId="64CC2AC2" w14:textId="77777777" w:rsidR="00DF630C" w:rsidRDefault="00DF630C" w:rsidP="0013412F">
      <w:r>
        <w:continuationSeparator/>
      </w:r>
    </w:p>
  </w:footnote>
  <w:footnote w:type="continuationNotice" w:id="1">
    <w:p w14:paraId="69319982" w14:textId="77777777" w:rsidR="00DF630C" w:rsidRDefault="00DF630C"/>
  </w:footnote>
  <w:footnote w:id="2">
    <w:p w14:paraId="56F55112" w14:textId="255EDE73" w:rsidR="007D6162" w:rsidRPr="00380E0D" w:rsidRDefault="007D6162" w:rsidP="00740FA9">
      <w:pPr>
        <w:pStyle w:val="FootnoteText"/>
        <w:spacing w:line="276" w:lineRule="auto"/>
        <w:jc w:val="both"/>
      </w:pPr>
      <w:r w:rsidRPr="00380E0D">
        <w:rPr>
          <w:rStyle w:val="FootnoteReference"/>
        </w:rPr>
        <w:footnoteRef/>
      </w:r>
      <w:r w:rsidRPr="00380E0D">
        <w:t xml:space="preserve"> It follows that the Commission’s view is that, on the main issue of statutory construction, the Lord Ordinary correctly understood the EqA. It is entitled to say so, contrary to </w:t>
      </w:r>
      <w:r w:rsidR="0094227E">
        <w:t>[</w:t>
      </w:r>
      <w:r w:rsidRPr="00380E0D">
        <w:t>AC/§29</w:t>
      </w:r>
      <w:r w:rsidR="00CC4458">
        <w:t xml:space="preserve"> </w:t>
      </w:r>
      <w:r w:rsidR="00CC4458" w:rsidRPr="00CC4458">
        <w:rPr>
          <w:color w:val="FF0000"/>
        </w:rPr>
        <w:t>EF.1</w:t>
      </w:r>
      <w:r w:rsidR="00EB55AB">
        <w:rPr>
          <w:color w:val="FF0000"/>
        </w:rPr>
        <w:t>64</w:t>
      </w:r>
      <w:r w:rsidR="0094227E">
        <w:t>]</w:t>
      </w:r>
      <w:r w:rsidRPr="00380E0D">
        <w:t xml:space="preserve">, which misunderstands and misapplies a dictum of Lord Reed in </w:t>
      </w:r>
      <w:r w:rsidRPr="00380E0D">
        <w:rPr>
          <w:i/>
          <w:u w:val="single"/>
        </w:rPr>
        <w:t>R (Majera) v. Secretary</w:t>
      </w:r>
      <w:r w:rsidR="00005240">
        <w:rPr>
          <w:i/>
          <w:u w:val="single"/>
        </w:rPr>
        <w:t xml:space="preserve"> of State for the Home Department</w:t>
      </w:r>
      <w:r w:rsidRPr="00380E0D">
        <w:t xml:space="preserve"> [2021] UKSC 46 [2022] AC 461 at (§ 44, 45-46)</w:t>
      </w:r>
      <w:r w:rsidR="008E6487">
        <w:t xml:space="preserve"> </w:t>
      </w:r>
      <w:r w:rsidR="008E6487" w:rsidRPr="008E6487">
        <w:rPr>
          <w:color w:val="FF0000"/>
        </w:rPr>
        <w:t>[EF.</w:t>
      </w:r>
      <w:r w:rsidR="008E6487">
        <w:rPr>
          <w:color w:val="FF0000"/>
        </w:rPr>
        <w:t>2161</w:t>
      </w:r>
      <w:r w:rsidR="008E6487" w:rsidRPr="008E6487">
        <w:rPr>
          <w:color w:val="FF0000"/>
        </w:rPr>
        <w:t>]</w:t>
      </w:r>
      <w:r w:rsidRPr="00380E0D">
        <w:t xml:space="preserve">. </w:t>
      </w:r>
    </w:p>
  </w:footnote>
  <w:footnote w:id="3">
    <w:p w14:paraId="32947BA6" w14:textId="516F5D8E" w:rsidR="00A40309" w:rsidRPr="00380E0D" w:rsidRDefault="00A40309" w:rsidP="00FB40E9">
      <w:pPr>
        <w:pStyle w:val="FootnoteText"/>
        <w:spacing w:line="276" w:lineRule="auto"/>
        <w:jc w:val="both"/>
      </w:pPr>
      <w:r w:rsidRPr="00380E0D">
        <w:rPr>
          <w:rStyle w:val="FootnoteReference"/>
        </w:rPr>
        <w:footnoteRef/>
      </w:r>
      <w:r w:rsidRPr="00380E0D">
        <w:t xml:space="preserve"> “</w:t>
      </w:r>
      <w:r w:rsidRPr="00380E0D">
        <w:rPr>
          <w:i/>
        </w:rPr>
        <w:t>A person has the protected characteristic of gender reassignment if the person is proposing to undergo, is undergoing or has undergone a process (or part of a process) for the purpose of reassigning the person's sex by changing physiological or other attributes of sex</w:t>
      </w:r>
      <w:r w:rsidRPr="00380E0D">
        <w:t>”.  A “</w:t>
      </w:r>
      <w:r w:rsidRPr="00380E0D">
        <w:rPr>
          <w:i/>
        </w:rPr>
        <w:t>process</w:t>
      </w:r>
      <w:r w:rsidRPr="00380E0D">
        <w:t>” need not be a medical or surgical process.</w:t>
      </w:r>
    </w:p>
  </w:footnote>
  <w:footnote w:id="4">
    <w:p w14:paraId="6246D736" w14:textId="13D9C1CA" w:rsidR="004F48DE" w:rsidRPr="00380E0D" w:rsidRDefault="004F48DE" w:rsidP="00740FA9">
      <w:pPr>
        <w:pStyle w:val="FootnoteText"/>
        <w:spacing w:line="276" w:lineRule="auto"/>
        <w:jc w:val="both"/>
      </w:pPr>
      <w:r w:rsidRPr="00380E0D">
        <w:rPr>
          <w:rStyle w:val="FootnoteReference"/>
        </w:rPr>
        <w:footnoteRef/>
      </w:r>
      <w:r w:rsidR="00283324" w:rsidRPr="00380E0D">
        <w:t xml:space="preserve"> Baroness Hale provide</w:t>
      </w:r>
      <w:r w:rsidR="00773281" w:rsidRPr="00380E0D">
        <w:t>d</w:t>
      </w:r>
      <w:r w:rsidR="00283324" w:rsidRPr="00380E0D">
        <w:t xml:space="preserve"> a </w:t>
      </w:r>
      <w:r w:rsidR="00C85927" w:rsidRPr="00380E0D">
        <w:t>detailed</w:t>
      </w:r>
      <w:r w:rsidR="00283324" w:rsidRPr="00380E0D">
        <w:t xml:space="preserve"> explanation of the development of sex discrimination law and the interrelationship with transgender rights in the domestic context and in both the ECtHR and the ECJ at §§34-42</w:t>
      </w:r>
      <w:r w:rsidR="00325766">
        <w:t xml:space="preserve"> </w:t>
      </w:r>
      <w:r w:rsidR="00325766" w:rsidRPr="00325766">
        <w:rPr>
          <w:color w:val="FF0000"/>
        </w:rPr>
        <w:t>[EF</w:t>
      </w:r>
      <w:r w:rsidR="00CF01F2">
        <w:rPr>
          <w:color w:val="FF0000"/>
        </w:rPr>
        <w:t>.16</w:t>
      </w:r>
      <w:r w:rsidR="008E6487">
        <w:rPr>
          <w:color w:val="FF0000"/>
        </w:rPr>
        <w:t>21</w:t>
      </w:r>
      <w:r w:rsidR="00325766" w:rsidRPr="00325766">
        <w:rPr>
          <w:color w:val="FF0000"/>
        </w:rPr>
        <w:t>]</w:t>
      </w:r>
      <w:r w:rsidR="00283324" w:rsidRPr="00380E0D">
        <w:t xml:space="preserve">.  </w:t>
      </w:r>
      <w:r w:rsidR="00E64F07" w:rsidRPr="00380E0D">
        <w:t xml:space="preserve">See </w:t>
      </w:r>
      <w:r w:rsidR="00E64F07" w:rsidRPr="00380E0D">
        <w:t xml:space="preserve">in particular at </w:t>
      </w:r>
      <w:r w:rsidR="00492FAE" w:rsidRPr="00380E0D">
        <w:t>[</w:t>
      </w:r>
      <w:r w:rsidRPr="00380E0D">
        <w:t>§42</w:t>
      </w:r>
      <w:r w:rsidR="00492FAE" w:rsidRPr="00380E0D">
        <w:t>]</w:t>
      </w:r>
      <w:r w:rsidRPr="00380E0D">
        <w:t xml:space="preserve"> Baroness Hale</w:t>
      </w:r>
      <w:r w:rsidR="00E64F07" w:rsidRPr="00380E0D">
        <w:t>’s</w:t>
      </w:r>
      <w:r w:rsidR="00773281" w:rsidRPr="00380E0D">
        <w:t xml:space="preserve"> </w:t>
      </w:r>
      <w:r w:rsidRPr="00380E0D">
        <w:t>comment</w:t>
      </w:r>
      <w:r w:rsidR="00E64F07" w:rsidRPr="00380E0D">
        <w:t>s</w:t>
      </w:r>
      <w:r w:rsidRPr="00380E0D">
        <w:t xml:space="preserve"> on the intended effect of the Gender Recognition Bill that was</w:t>
      </w:r>
      <w:r w:rsidR="00C85927" w:rsidRPr="00380E0D">
        <w:t xml:space="preserve"> then</w:t>
      </w:r>
      <w:r w:rsidRPr="00380E0D">
        <w:t xml:space="preserve"> before Parliament</w:t>
      </w:r>
      <w:r w:rsidR="00E64F07" w:rsidRPr="00380E0D">
        <w:t xml:space="preserve"> which she explained would </w:t>
      </w:r>
      <w:r w:rsidR="00B53036" w:rsidRPr="00FB40E9">
        <w:t>lay down</w:t>
      </w:r>
      <w:r w:rsidR="00B53036" w:rsidRPr="00380E0D">
        <w:rPr>
          <w:i/>
        </w:rPr>
        <w:t xml:space="preserve"> </w:t>
      </w:r>
      <w:r w:rsidR="00E64F07" w:rsidRPr="00380E0D">
        <w:rPr>
          <w:i/>
          <w:iCs/>
        </w:rPr>
        <w:t>“</w:t>
      </w:r>
      <w:r w:rsidR="00B53036" w:rsidRPr="00380E0D">
        <w:rPr>
          <w:i/>
        </w:rPr>
        <w:t>a comprehensive scheme</w:t>
      </w:r>
      <w:r w:rsidR="00E64F07" w:rsidRPr="00380E0D">
        <w:rPr>
          <w:i/>
          <w:iCs/>
        </w:rPr>
        <w:t>”</w:t>
      </w:r>
      <w:r w:rsidR="00B53036" w:rsidRPr="00380E0D">
        <w:rPr>
          <w:i/>
        </w:rPr>
        <w:t xml:space="preserve"> </w:t>
      </w:r>
      <w:r w:rsidR="00E64F07" w:rsidRPr="00FB40E9">
        <w:t xml:space="preserve">and that </w:t>
      </w:r>
      <w:r w:rsidR="00E64F07" w:rsidRPr="00380E0D">
        <w:rPr>
          <w:i/>
          <w:iCs/>
        </w:rPr>
        <w:t>“</w:t>
      </w:r>
      <w:r w:rsidR="00B53036" w:rsidRPr="00380E0D">
        <w:rPr>
          <w:i/>
        </w:rPr>
        <w:t>In policy terms, therefore, the view has been taken that trans people properly belong to the gender in which they live</w:t>
      </w:r>
      <w:r w:rsidRPr="00380E0D">
        <w:t>.”</w:t>
      </w:r>
    </w:p>
  </w:footnote>
  <w:footnote w:id="5">
    <w:p w14:paraId="74C7C8EC" w14:textId="78AC38FC" w:rsidR="00B8077D" w:rsidRDefault="00096271" w:rsidP="00740FA9">
      <w:pPr>
        <w:pStyle w:val="FootnoteText"/>
        <w:spacing w:line="276" w:lineRule="auto"/>
        <w:jc w:val="both"/>
      </w:pPr>
      <w:r w:rsidRPr="00380E0D">
        <w:rPr>
          <w:rStyle w:val="FootnoteReference"/>
        </w:rPr>
        <w:footnoteRef/>
      </w:r>
      <w:r w:rsidRPr="00380E0D">
        <w:t xml:space="preserve"> </w:t>
      </w:r>
      <w:r w:rsidR="00380E0D">
        <w:t>For the p</w:t>
      </w:r>
      <w:r w:rsidR="00AE7DF8" w:rsidRPr="00380E0D">
        <w:t xml:space="preserve">rinciple of construing legislation </w:t>
      </w:r>
      <w:r w:rsidR="00AE7DF8" w:rsidRPr="00380E0D">
        <w:t xml:space="preserve">in light of the objective which appear from its purpose and background, see </w:t>
      </w:r>
      <w:r w:rsidRPr="00380E0D">
        <w:rPr>
          <w:i/>
          <w:u w:val="single"/>
        </w:rPr>
        <w:t>Kostal (UK) Ltd v Dunkley and others</w:t>
      </w:r>
      <w:r w:rsidRPr="00380E0D">
        <w:t xml:space="preserve"> [2021] UKSC 47, [2022] 2 All E.R. 607</w:t>
      </w:r>
      <w:r w:rsidR="00AE7DF8" w:rsidRPr="00380E0D">
        <w:t xml:space="preserve">, </w:t>
      </w:r>
      <w:r w:rsidR="00380E0D">
        <w:t>§30</w:t>
      </w:r>
      <w:r w:rsidR="00325766">
        <w:t xml:space="preserve"> </w:t>
      </w:r>
      <w:r w:rsidR="00325766" w:rsidRPr="00325766">
        <w:rPr>
          <w:color w:val="FF0000"/>
        </w:rPr>
        <w:t>[EF</w:t>
      </w:r>
      <w:r w:rsidR="00CF01F2">
        <w:rPr>
          <w:color w:val="FF0000"/>
        </w:rPr>
        <w:t>.21</w:t>
      </w:r>
      <w:r w:rsidR="003977F6">
        <w:rPr>
          <w:color w:val="FF0000"/>
        </w:rPr>
        <w:t>77</w:t>
      </w:r>
      <w:r w:rsidR="00325766" w:rsidRPr="00325766">
        <w:rPr>
          <w:color w:val="FF0000"/>
        </w:rPr>
        <w:t>]</w:t>
      </w:r>
      <w:r w:rsidR="00AE7DF8" w:rsidRPr="00380E0D">
        <w:t>.</w:t>
      </w:r>
    </w:p>
    <w:p w14:paraId="014ED5F5" w14:textId="77777777" w:rsidR="00536BFF" w:rsidRPr="00380E0D" w:rsidRDefault="00536BFF" w:rsidP="00740FA9">
      <w:pPr>
        <w:pStyle w:val="FootnoteText"/>
        <w:spacing w:line="276" w:lineRule="auto"/>
        <w:jc w:val="both"/>
      </w:pPr>
    </w:p>
  </w:footnote>
  <w:footnote w:id="6">
    <w:p w14:paraId="54153C87" w14:textId="032082B1" w:rsidR="00380E0D" w:rsidRPr="00380E0D" w:rsidRDefault="002F53F1" w:rsidP="00FB40E9">
      <w:pPr>
        <w:pStyle w:val="FootnoteText"/>
        <w:spacing w:line="276" w:lineRule="auto"/>
        <w:jc w:val="both"/>
      </w:pPr>
      <w:r w:rsidRPr="00380E0D">
        <w:rPr>
          <w:rStyle w:val="FootnoteReference"/>
        </w:rPr>
        <w:footnoteRef/>
      </w:r>
      <w:r w:rsidRPr="00380E0D">
        <w:t xml:space="preserve"> For a detailed account of the mechanics of obtaining a GRC, see </w:t>
      </w:r>
      <w:r w:rsidRPr="00380E0D">
        <w:rPr>
          <w:i/>
          <w:u w:val="single"/>
        </w:rPr>
        <w:t>Jay v Secretary of State for Justice</w:t>
      </w:r>
      <w:r w:rsidRPr="00380E0D">
        <w:rPr>
          <w:i/>
        </w:rPr>
        <w:t xml:space="preserve"> </w:t>
      </w:r>
      <w:r w:rsidRPr="00380E0D">
        <w:t>[2018] EWHC 2620 (Fam), [2019] Fam 87, §§3-19</w:t>
      </w:r>
      <w:r w:rsidR="00325766">
        <w:t xml:space="preserve"> </w:t>
      </w:r>
      <w:r w:rsidR="00325766" w:rsidRPr="00325766">
        <w:rPr>
          <w:color w:val="FF0000"/>
        </w:rPr>
        <w:t>[EF</w:t>
      </w:r>
      <w:r w:rsidR="00CF01F2">
        <w:rPr>
          <w:color w:val="FF0000"/>
        </w:rPr>
        <w:t>.1</w:t>
      </w:r>
      <w:r w:rsidR="003977F6">
        <w:rPr>
          <w:color w:val="FF0000"/>
        </w:rPr>
        <w:t>120</w:t>
      </w:r>
      <w:r w:rsidR="00325766" w:rsidRPr="00325766">
        <w:rPr>
          <w:color w:val="FF0000"/>
        </w:rPr>
        <w:t>]</w:t>
      </w:r>
      <w:r w:rsidRPr="00380E0D">
        <w:t>.</w:t>
      </w:r>
    </w:p>
    <w:p w14:paraId="73AB4D60" w14:textId="77777777" w:rsidR="002F53F1" w:rsidRPr="00380E0D" w:rsidRDefault="002F53F1" w:rsidP="00FB40E9">
      <w:pPr>
        <w:pStyle w:val="FootnoteText"/>
        <w:spacing w:line="276" w:lineRule="auto"/>
        <w:jc w:val="both"/>
      </w:pPr>
    </w:p>
  </w:footnote>
  <w:footnote w:id="7">
    <w:p w14:paraId="68D17A37" w14:textId="3DD9D1C6" w:rsidR="00380E0D" w:rsidRPr="00380E0D" w:rsidRDefault="00122D0D">
      <w:pPr>
        <w:pStyle w:val="FootnoteText"/>
        <w:spacing w:line="276" w:lineRule="auto"/>
        <w:jc w:val="both"/>
      </w:pPr>
      <w:r w:rsidRPr="00380E0D">
        <w:rPr>
          <w:rStyle w:val="FootnoteReference"/>
        </w:rPr>
        <w:footnoteRef/>
      </w:r>
      <w:r w:rsidRPr="00380E0D">
        <w:t xml:space="preserve"> “</w:t>
      </w:r>
      <w:r w:rsidR="002F53F1" w:rsidRPr="00380E0D">
        <w:rPr>
          <w:i/>
        </w:rPr>
        <w:t>G</w:t>
      </w:r>
      <w:r w:rsidRPr="00380E0D">
        <w:rPr>
          <w:i/>
        </w:rPr>
        <w:t>ender dysphoria</w:t>
      </w:r>
      <w:r w:rsidRPr="00380E0D">
        <w:t xml:space="preserve">” is not defined in the </w:t>
      </w:r>
      <w:r w:rsidR="002C4EB6" w:rsidRPr="00380E0D">
        <w:t>GRA</w:t>
      </w:r>
      <w:r w:rsidR="00E12445" w:rsidRPr="00380E0D">
        <w:t xml:space="preserve">, and there are different medical definitions (see, </w:t>
      </w:r>
      <w:r w:rsidR="00E12445" w:rsidRPr="00380E0D">
        <w:t xml:space="preserve">eg, </w:t>
      </w:r>
      <w:r w:rsidR="00E12445" w:rsidRPr="00380E0D">
        <w:rPr>
          <w:i/>
          <w:u w:val="single"/>
        </w:rPr>
        <w:t>Jay</w:t>
      </w:r>
      <w:r w:rsidR="00E12445" w:rsidRPr="00380E0D">
        <w:t>, §§36, 39).  A definition, drawn from the definition of “</w:t>
      </w:r>
      <w:r w:rsidR="00E12445" w:rsidRPr="00380E0D">
        <w:rPr>
          <w:i/>
        </w:rPr>
        <w:t>transsexualism</w:t>
      </w:r>
      <w:r w:rsidR="00E12445" w:rsidRPr="00380E0D">
        <w:t>” in the 10</w:t>
      </w:r>
      <w:r w:rsidR="00E12445" w:rsidRPr="00380E0D">
        <w:rPr>
          <w:vertAlign w:val="superscript"/>
        </w:rPr>
        <w:t>th</w:t>
      </w:r>
      <w:r w:rsidR="00E12445" w:rsidRPr="00380E0D">
        <w:t xml:space="preserve"> revision of the International Statistical Classification of Diseases (“</w:t>
      </w:r>
      <w:r w:rsidR="00E12445" w:rsidRPr="00380E0D">
        <w:rPr>
          <w:b/>
        </w:rPr>
        <w:t>ICD</w:t>
      </w:r>
      <w:r w:rsidR="00E12445" w:rsidRPr="00380E0D">
        <w:t xml:space="preserve">”) (see </w:t>
      </w:r>
      <w:r w:rsidR="00E12445" w:rsidRPr="00380E0D">
        <w:rPr>
          <w:i/>
          <w:u w:val="single"/>
        </w:rPr>
        <w:t>Jay</w:t>
      </w:r>
      <w:r w:rsidR="00E12445" w:rsidRPr="00380E0D">
        <w:t>, §3) is: “</w:t>
      </w:r>
      <w:r w:rsidR="00E12445" w:rsidRPr="00380E0D">
        <w:rPr>
          <w:i/>
        </w:rPr>
        <w:t>The desire to live and be accepted as a member of the opposite sex, usually accompanied by the wish to make his or her body as congruent as possible with the preferred sex with surgery and hormone treatment</w:t>
      </w:r>
      <w:r w:rsidR="00E12445" w:rsidRPr="00380E0D">
        <w:t>”.  Note, the latest, 11</w:t>
      </w:r>
      <w:r w:rsidR="00E12445" w:rsidRPr="00380E0D">
        <w:rPr>
          <w:vertAlign w:val="superscript"/>
        </w:rPr>
        <w:t>th</w:t>
      </w:r>
      <w:r w:rsidR="00E12445" w:rsidRPr="00380E0D">
        <w:t xml:space="preserve"> edition (January 2024) of the ICD does not “</w:t>
      </w:r>
      <w:r w:rsidR="00E12445" w:rsidRPr="00380E0D">
        <w:rPr>
          <w:i/>
        </w:rPr>
        <w:t>transsexualism</w:t>
      </w:r>
      <w:r w:rsidR="00E12445" w:rsidRPr="00380E0D">
        <w:t xml:space="preserve">” but does </w:t>
      </w:r>
      <w:r w:rsidR="00E1532D">
        <w:t>include</w:t>
      </w:r>
      <w:r w:rsidR="00E12445" w:rsidRPr="00380E0D">
        <w:t xml:space="preserve"> “</w:t>
      </w:r>
      <w:r w:rsidR="00E12445" w:rsidRPr="00380E0D">
        <w:rPr>
          <w:i/>
        </w:rPr>
        <w:t>gender incongruence</w:t>
      </w:r>
      <w:r w:rsidR="00E12445" w:rsidRPr="00380E0D">
        <w:t>”: “</w:t>
      </w:r>
      <w:r w:rsidR="00E12445" w:rsidRPr="00380E0D">
        <w:rPr>
          <w:i/>
        </w:rPr>
        <w:t>Gender incongruence is characterised by a marked and persistent incongruence between an individual’s experienced gender and the assigned sex. Gender variant behaviour and preferences alone are not a basis for assigning the diagnoses in this group</w:t>
      </w:r>
      <w:r w:rsidR="00E12445" w:rsidRPr="00380E0D">
        <w:t>”</w:t>
      </w:r>
      <w:r w:rsidR="00B8077D" w:rsidRPr="00380E0D">
        <w:t>.</w:t>
      </w:r>
      <w:r w:rsidR="00E1532D">
        <w:t xml:space="preserve"> The NHS also provides a definition “</w:t>
      </w:r>
      <w:r w:rsidR="00E1532D" w:rsidRPr="00FB40E9">
        <w:rPr>
          <w:i/>
          <w:iCs/>
        </w:rPr>
        <w:t>a term that describes a sense of unease that a person may have because of a mismatch between their biological sex and their gender identity.”</w:t>
      </w:r>
      <w:r w:rsidR="00E1532D">
        <w:rPr>
          <w:i/>
          <w:iCs/>
        </w:rPr>
        <w:t xml:space="preserve"> </w:t>
      </w:r>
      <w:r w:rsidR="00E1532D">
        <w:t xml:space="preserve">Overview, Gender Dysphoria, </w:t>
      </w:r>
      <w:r w:rsidR="00E1532D" w:rsidRPr="00E1532D">
        <w:t xml:space="preserve">https://www.nhs.uk/conditions/gender-dysphoria/ </w:t>
      </w:r>
      <w:r w:rsidR="00E1532D">
        <w:t>(accessed 21 October 2024)</w:t>
      </w:r>
      <w:r w:rsidR="00380E0D">
        <w:t>.</w:t>
      </w:r>
    </w:p>
    <w:p w14:paraId="7A1DA0DE" w14:textId="77777777" w:rsidR="009E53B0" w:rsidRPr="00380E0D" w:rsidRDefault="009E53B0" w:rsidP="00740FA9">
      <w:pPr>
        <w:pStyle w:val="FootnoteText"/>
        <w:spacing w:line="276" w:lineRule="auto"/>
        <w:jc w:val="both"/>
      </w:pPr>
    </w:p>
  </w:footnote>
  <w:footnote w:id="8">
    <w:p w14:paraId="14E87DA9" w14:textId="6154C6FB" w:rsidR="002F53F1" w:rsidRPr="00380E0D" w:rsidRDefault="002F53F1" w:rsidP="00FB40E9">
      <w:pPr>
        <w:pStyle w:val="FootnoteText"/>
        <w:spacing w:line="276" w:lineRule="auto"/>
        <w:jc w:val="both"/>
      </w:pPr>
      <w:r w:rsidRPr="00380E0D">
        <w:rPr>
          <w:rStyle w:val="FootnoteReference"/>
        </w:rPr>
        <w:footnoteRef/>
      </w:r>
      <w:r w:rsidRPr="00380E0D">
        <w:t xml:space="preserve"> The Commission has policy guidance to that effect.  See “</w:t>
      </w:r>
      <w:r w:rsidR="00FA454D" w:rsidRPr="00FB40E9">
        <w:rPr>
          <w:i/>
          <w:iCs/>
        </w:rPr>
        <w:t>Separate and single-sex service providers: a guide on the Equality Act sex and gender reassignment provisions</w:t>
      </w:r>
      <w:r w:rsidRPr="00380E0D">
        <w:t>”,</w:t>
      </w:r>
      <w:r w:rsidR="00FA454D">
        <w:t xml:space="preserve"> p.5</w:t>
      </w:r>
      <w:r w:rsidR="00325766">
        <w:t xml:space="preserve"> </w:t>
      </w:r>
      <w:r w:rsidR="00325766" w:rsidRPr="00325766">
        <w:rPr>
          <w:color w:val="FF0000"/>
        </w:rPr>
        <w:t>[EF</w:t>
      </w:r>
      <w:r w:rsidR="00CF01F2">
        <w:rPr>
          <w:color w:val="FF0000"/>
        </w:rPr>
        <w:t>.4</w:t>
      </w:r>
      <w:r w:rsidR="003977F6">
        <w:rPr>
          <w:color w:val="FF0000"/>
        </w:rPr>
        <w:t>833</w:t>
      </w:r>
      <w:r w:rsidR="00325766" w:rsidRPr="00325766">
        <w:rPr>
          <w:color w:val="FF0000"/>
        </w:rPr>
        <w:t>]</w:t>
      </w:r>
      <w:r w:rsidR="00FA454D">
        <w:t xml:space="preserve">, </w:t>
      </w:r>
      <w:r w:rsidRPr="00380E0D">
        <w:t xml:space="preserve"> </w:t>
      </w:r>
      <w:r w:rsidR="00FA454D">
        <w:t>“</w:t>
      </w:r>
      <w:r w:rsidR="00FA454D" w:rsidRPr="00FB40E9">
        <w:rPr>
          <w:i/>
          <w:iCs/>
        </w:rPr>
        <w:t>Services, public functions and associations statutory code of practice</w:t>
      </w:r>
      <w:r w:rsidR="00FA454D" w:rsidRPr="00FA454D">
        <w:t>,</w:t>
      </w:r>
      <w:r w:rsidR="00FA454D">
        <w:t>”</w:t>
      </w:r>
      <w:r w:rsidR="00FA454D" w:rsidRPr="00FA454D">
        <w:t xml:space="preserve"> §§ 2.26, 13.86</w:t>
      </w:r>
      <w:r w:rsidR="00325766">
        <w:t xml:space="preserve"> </w:t>
      </w:r>
      <w:r w:rsidR="00325766" w:rsidRPr="00325766">
        <w:rPr>
          <w:color w:val="FF0000"/>
        </w:rPr>
        <w:t>[EF</w:t>
      </w:r>
      <w:r w:rsidR="00CF01F2">
        <w:rPr>
          <w:color w:val="FF0000"/>
        </w:rPr>
        <w:t>.4</w:t>
      </w:r>
      <w:r w:rsidR="003977F6">
        <w:rPr>
          <w:color w:val="FF0000"/>
        </w:rPr>
        <w:t>813</w:t>
      </w:r>
      <w:r w:rsidR="00325766" w:rsidRPr="00325766">
        <w:rPr>
          <w:color w:val="FF0000"/>
        </w:rPr>
        <w:t>]</w:t>
      </w:r>
      <w:r w:rsidR="00FA454D">
        <w:t xml:space="preserve">. </w:t>
      </w:r>
    </w:p>
  </w:footnote>
  <w:footnote w:id="9">
    <w:p w14:paraId="695C7C98" w14:textId="5666BABD" w:rsidR="00380E0D" w:rsidRPr="00380E0D" w:rsidRDefault="006E043B">
      <w:pPr>
        <w:pStyle w:val="FootnoteText"/>
        <w:spacing w:line="276" w:lineRule="auto"/>
        <w:jc w:val="both"/>
      </w:pPr>
      <w:r w:rsidRPr="00380E0D">
        <w:rPr>
          <w:rStyle w:val="FootnoteReference"/>
        </w:rPr>
        <w:footnoteRef/>
      </w:r>
      <w:r w:rsidRPr="00380E0D">
        <w:t xml:space="preserve"> Noting the </w:t>
      </w:r>
      <w:r w:rsidR="00210DEB" w:rsidRPr="00380E0D">
        <w:t>weight which may properly be attached t</w:t>
      </w:r>
      <w:r w:rsidRPr="00380E0D">
        <w:t xml:space="preserve">o Explanatory Notes: see </w:t>
      </w:r>
      <w:r w:rsidRPr="00380E0D">
        <w:rPr>
          <w:i/>
          <w:u w:val="single"/>
        </w:rPr>
        <w:t xml:space="preserve">R (Westminster City Council) v National Asylum Support Service </w:t>
      </w:r>
      <w:r w:rsidRPr="00380E0D">
        <w:t>[2002] UKHL 38, [2002] 4 All ER 654</w:t>
      </w:r>
      <w:r w:rsidR="00980BFE" w:rsidRPr="00380E0D">
        <w:t>, §</w:t>
      </w:r>
      <w:r w:rsidRPr="00380E0D">
        <w:t>5</w:t>
      </w:r>
      <w:r w:rsidR="00325766">
        <w:t xml:space="preserve"> </w:t>
      </w:r>
      <w:r w:rsidR="00325766" w:rsidRPr="00325766">
        <w:rPr>
          <w:color w:val="FF0000"/>
        </w:rPr>
        <w:t>[EF</w:t>
      </w:r>
      <w:r w:rsidR="00CF01F2">
        <w:rPr>
          <w:color w:val="FF0000"/>
        </w:rPr>
        <w:t>.15</w:t>
      </w:r>
      <w:r w:rsidR="003977F6">
        <w:rPr>
          <w:color w:val="FF0000"/>
        </w:rPr>
        <w:t>47]</w:t>
      </w:r>
      <w:r w:rsidRPr="00380E0D">
        <w:t xml:space="preserve"> and </w:t>
      </w:r>
      <w:r w:rsidRPr="00380E0D">
        <w:rPr>
          <w:i/>
          <w:u w:val="single"/>
        </w:rPr>
        <w:t xml:space="preserve">Flora v </w:t>
      </w:r>
      <w:r w:rsidRPr="00380E0D">
        <w:rPr>
          <w:i/>
          <w:u w:val="single"/>
        </w:rPr>
        <w:t xml:space="preserve">Wakom (Heathrow) Ltd </w:t>
      </w:r>
      <w:r w:rsidRPr="00380E0D">
        <w:t>[2006] EWCA Civ 1103, [2006] 4 All ER 982</w:t>
      </w:r>
      <w:r w:rsidR="00980BFE" w:rsidRPr="00380E0D">
        <w:t>,</w:t>
      </w:r>
      <w:r w:rsidRPr="00380E0D">
        <w:t xml:space="preserve"> §§15-16.</w:t>
      </w:r>
    </w:p>
    <w:p w14:paraId="0BDA2A6E" w14:textId="77777777" w:rsidR="00AB005C" w:rsidRPr="00380E0D" w:rsidRDefault="00AB005C" w:rsidP="00740FA9">
      <w:pPr>
        <w:pStyle w:val="FootnoteText"/>
        <w:spacing w:line="276" w:lineRule="auto"/>
        <w:jc w:val="both"/>
      </w:pPr>
    </w:p>
  </w:footnote>
  <w:footnote w:id="10">
    <w:p w14:paraId="75A526C9" w14:textId="77777777" w:rsidR="009A6259" w:rsidRPr="00380E0D" w:rsidRDefault="009A6259" w:rsidP="00FB40E9">
      <w:pPr>
        <w:pStyle w:val="FootnoteText"/>
        <w:spacing w:line="276" w:lineRule="auto"/>
        <w:jc w:val="both"/>
      </w:pPr>
      <w:r w:rsidRPr="00380E0D">
        <w:rPr>
          <w:rStyle w:val="FootnoteReference"/>
        </w:rPr>
        <w:footnoteRef/>
      </w:r>
      <w:r w:rsidRPr="00380E0D">
        <w:t xml:space="preserve"> The operation of s. 9(3) was facilitated by the order-making power in s. 23 GRA.</w:t>
      </w:r>
    </w:p>
    <w:p w14:paraId="5BCDDDEF" w14:textId="77777777" w:rsidR="009A6259" w:rsidRPr="00380E0D" w:rsidRDefault="009A6259" w:rsidP="00FB40E9">
      <w:pPr>
        <w:pStyle w:val="FootnoteText"/>
        <w:spacing w:line="276" w:lineRule="auto"/>
        <w:jc w:val="both"/>
      </w:pPr>
    </w:p>
  </w:footnote>
  <w:footnote w:id="11">
    <w:p w14:paraId="330B676E" w14:textId="4902231B" w:rsidR="00C54D23" w:rsidRDefault="00594F29" w:rsidP="00FB40E9">
      <w:pPr>
        <w:pStyle w:val="FootnoteText"/>
        <w:spacing w:line="276" w:lineRule="auto"/>
        <w:jc w:val="both"/>
      </w:pPr>
      <w:r w:rsidRPr="00380E0D">
        <w:rPr>
          <w:rStyle w:val="FootnoteReference"/>
        </w:rPr>
        <w:footnoteRef/>
      </w:r>
      <w:r w:rsidRPr="00380E0D">
        <w:t xml:space="preserve"> “</w:t>
      </w:r>
      <w:r w:rsidRPr="00FB40E9">
        <w:rPr>
          <w:i/>
        </w:rPr>
        <w:t>Parliament uses a variety of different formulations to prescribe what might be a hypothetical state of affairs</w:t>
      </w:r>
      <w:r w:rsidRPr="00380E0D">
        <w:t xml:space="preserve">”:  </w:t>
      </w:r>
      <w:r w:rsidRPr="00380E0D">
        <w:rPr>
          <w:i/>
          <w:u w:val="single"/>
        </w:rPr>
        <w:t>R (Charlesworth) v Crossrail Limited</w:t>
      </w:r>
      <w:r w:rsidRPr="00380E0D">
        <w:rPr>
          <w:b/>
        </w:rPr>
        <w:t xml:space="preserve"> </w:t>
      </w:r>
      <w:r w:rsidRPr="00380E0D">
        <w:t xml:space="preserve">[2019] EWCA </w:t>
      </w:r>
      <w:r w:rsidRPr="00380E0D">
        <w:t>Civ 1118, §12</w:t>
      </w:r>
      <w:r w:rsidR="00325766">
        <w:t xml:space="preserve"> </w:t>
      </w:r>
      <w:r w:rsidR="00325766" w:rsidRPr="00325766">
        <w:rPr>
          <w:color w:val="FF0000"/>
        </w:rPr>
        <w:t>[EF</w:t>
      </w:r>
      <w:r w:rsidR="00CF01F2">
        <w:rPr>
          <w:color w:val="FF0000"/>
        </w:rPr>
        <w:t>.14</w:t>
      </w:r>
      <w:r w:rsidR="003977F6">
        <w:rPr>
          <w:color w:val="FF0000"/>
        </w:rPr>
        <w:t>69</w:t>
      </w:r>
      <w:r w:rsidR="00325766" w:rsidRPr="00325766">
        <w:rPr>
          <w:color w:val="FF0000"/>
        </w:rPr>
        <w:t>]</w:t>
      </w:r>
      <w:r w:rsidRPr="00380E0D">
        <w:t>.</w:t>
      </w:r>
    </w:p>
    <w:p w14:paraId="74DFA894" w14:textId="77777777" w:rsidR="003977F6" w:rsidRPr="00380E0D" w:rsidRDefault="003977F6" w:rsidP="00FB40E9">
      <w:pPr>
        <w:pStyle w:val="FootnoteText"/>
        <w:spacing w:line="276" w:lineRule="auto"/>
        <w:jc w:val="both"/>
      </w:pPr>
    </w:p>
  </w:footnote>
  <w:footnote w:id="12">
    <w:p w14:paraId="03EFAF7C" w14:textId="337CADA0" w:rsidR="00194265" w:rsidRPr="00380E0D" w:rsidRDefault="00194265" w:rsidP="00FB40E9">
      <w:pPr>
        <w:pStyle w:val="FootnoteText"/>
        <w:spacing w:line="276" w:lineRule="auto"/>
        <w:jc w:val="both"/>
      </w:pPr>
      <w:r w:rsidRPr="00380E0D">
        <w:rPr>
          <w:rStyle w:val="FootnoteReference"/>
        </w:rPr>
        <w:footnoteRef/>
      </w:r>
      <w:r w:rsidRPr="00380E0D">
        <w:t xml:space="preserve"> The Appellant submit</w:t>
      </w:r>
      <w:r w:rsidR="00310007" w:rsidRPr="00740FA9">
        <w:t>s</w:t>
      </w:r>
      <w:r w:rsidRPr="00380E0D">
        <w:t xml:space="preserve"> that “</w:t>
      </w:r>
      <w:r w:rsidRPr="00380E0D">
        <w:rPr>
          <w:i/>
        </w:rPr>
        <w:t>there has never been any prior authoritative judicial interpretation of the SDA 1975 to the effect that the acquisition of a GRC changed an individual’s sex for the purposes for the SDA 1975</w:t>
      </w:r>
      <w:r w:rsidRPr="00380E0D">
        <w:t>”</w:t>
      </w:r>
      <w:r w:rsidRPr="00325766">
        <w:rPr>
          <w:color w:val="FF0000"/>
        </w:rPr>
        <w:t xml:space="preserve"> </w:t>
      </w:r>
      <w:r w:rsidR="0094227E" w:rsidRPr="003977F6">
        <w:rPr>
          <w:color w:val="000000" w:themeColor="text1"/>
        </w:rPr>
        <w:t>[</w:t>
      </w:r>
      <w:r w:rsidRPr="003977F6">
        <w:rPr>
          <w:color w:val="000000" w:themeColor="text1"/>
        </w:rPr>
        <w:t>AC§55</w:t>
      </w:r>
      <w:r w:rsidR="00325766" w:rsidRPr="003977F6">
        <w:rPr>
          <w:color w:val="000000" w:themeColor="text1"/>
        </w:rPr>
        <w:t xml:space="preserve"> </w:t>
      </w:r>
      <w:r w:rsidR="00325766" w:rsidRPr="00325766">
        <w:rPr>
          <w:color w:val="FF0000"/>
        </w:rPr>
        <w:t>EF</w:t>
      </w:r>
      <w:r w:rsidR="00CF01F2">
        <w:rPr>
          <w:color w:val="FF0000"/>
        </w:rPr>
        <w:t>.</w:t>
      </w:r>
      <w:r w:rsidR="003977F6">
        <w:rPr>
          <w:color w:val="FF0000"/>
        </w:rPr>
        <w:t>177</w:t>
      </w:r>
      <w:r w:rsidR="0094227E" w:rsidRPr="003977F6">
        <w:rPr>
          <w:color w:val="000000" w:themeColor="text1"/>
        </w:rPr>
        <w:t>]</w:t>
      </w:r>
      <w:r w:rsidRPr="003977F6">
        <w:rPr>
          <w:color w:val="000000" w:themeColor="text1"/>
        </w:rPr>
        <w:t>.</w:t>
      </w:r>
      <w:r w:rsidR="00C54D23" w:rsidRPr="003977F6">
        <w:rPr>
          <w:color w:val="000000" w:themeColor="text1"/>
        </w:rPr>
        <w:t xml:space="preserve"> </w:t>
      </w:r>
      <w:r w:rsidRPr="00380E0D">
        <w:t xml:space="preserve">That is correct but does not establish </w:t>
      </w:r>
      <w:r w:rsidR="00310007" w:rsidRPr="00740FA9">
        <w:t xml:space="preserve">sufficient </w:t>
      </w:r>
      <w:r w:rsidRPr="00380E0D">
        <w:t>room for doubt as to the impact of s. 9(1) GRA on the SDA.</w:t>
      </w:r>
    </w:p>
  </w:footnote>
  <w:footnote w:id="13">
    <w:p w14:paraId="0D674871" w14:textId="13E329C2" w:rsidR="007245E1" w:rsidRPr="00380E0D" w:rsidRDefault="007245E1" w:rsidP="00740FA9">
      <w:pPr>
        <w:pStyle w:val="FootnoteText"/>
        <w:spacing w:line="276" w:lineRule="auto"/>
        <w:jc w:val="both"/>
      </w:pPr>
      <w:r w:rsidRPr="00380E0D">
        <w:rPr>
          <w:rStyle w:val="FootnoteReference"/>
        </w:rPr>
        <w:footnoteRef/>
      </w:r>
      <w:r w:rsidRPr="00380E0D">
        <w:t xml:space="preserve"> The Appellant</w:t>
      </w:r>
      <w:r w:rsidR="000C4012" w:rsidRPr="00380E0D">
        <w:t>’s Case</w:t>
      </w:r>
      <w:r w:rsidRPr="00380E0D">
        <w:t xml:space="preserve"> at </w:t>
      </w:r>
      <w:r w:rsidRPr="00380E0D">
        <w:t>f</w:t>
      </w:r>
      <w:r w:rsidR="001D112C">
        <w:t>n</w:t>
      </w:r>
      <w:r w:rsidRPr="00380E0D">
        <w:t xml:space="preserve"> 53 </w:t>
      </w:r>
      <w:r w:rsidR="001D112C">
        <w:t>notes</w:t>
      </w:r>
      <w:r w:rsidRPr="00380E0D">
        <w:t xml:space="preserve"> that this provision has not been brought into force</w:t>
      </w:r>
      <w:r w:rsidR="000C4012" w:rsidRPr="00380E0D">
        <w:t xml:space="preserve"> but </w:t>
      </w:r>
      <w:r w:rsidRPr="00380E0D">
        <w:t xml:space="preserve">legislation that is not yet in force may be </w:t>
      </w:r>
      <w:r w:rsidR="000C4012" w:rsidRPr="00380E0D">
        <w:t xml:space="preserve">relied upon </w:t>
      </w:r>
      <w:r w:rsidRPr="00380E0D">
        <w:t>where it forms part of the relevant context for the purposes of construing legislation that is in force</w:t>
      </w:r>
      <w:r w:rsidR="000C4012" w:rsidRPr="00380E0D">
        <w:t>:</w:t>
      </w:r>
      <w:r w:rsidRPr="00380E0D">
        <w:t xml:space="preserve">  </w:t>
      </w:r>
      <w:r w:rsidRPr="00380E0D">
        <w:rPr>
          <w:i/>
          <w:u w:val="single"/>
        </w:rPr>
        <w:t>R (SXM) v Disclosure and Barring Service</w:t>
      </w:r>
      <w:r w:rsidRPr="00380E0D">
        <w:t xml:space="preserve"> [2020] EWHC 624 (Admin), [2020] 1 W.L.R. 3259</w:t>
      </w:r>
      <w:r w:rsidR="001D112C">
        <w:t>, §</w:t>
      </w:r>
      <w:r w:rsidRPr="00380E0D">
        <w:t>45</w:t>
      </w:r>
      <w:r w:rsidR="00325766">
        <w:t xml:space="preserve"> </w:t>
      </w:r>
      <w:r w:rsidR="00325766" w:rsidRPr="00325766">
        <w:rPr>
          <w:color w:val="FF0000"/>
        </w:rPr>
        <w:t>[EF</w:t>
      </w:r>
      <w:r w:rsidR="00C54D23">
        <w:rPr>
          <w:color w:val="FF0000"/>
        </w:rPr>
        <w:t>.11</w:t>
      </w:r>
      <w:r w:rsidR="00565023">
        <w:rPr>
          <w:color w:val="FF0000"/>
        </w:rPr>
        <w:t>64</w:t>
      </w:r>
      <w:r w:rsidR="00325766" w:rsidRPr="00325766">
        <w:rPr>
          <w:color w:val="FF0000"/>
        </w:rPr>
        <w:t>]</w:t>
      </w:r>
      <w:r w:rsidRPr="00380E0D">
        <w:t xml:space="preserve">. See also </w:t>
      </w:r>
      <w:r w:rsidRPr="00380E0D">
        <w:rPr>
          <w:i/>
        </w:rPr>
        <w:t>Bennion, Bailey and Norbury on Statutory Interpretation</w:t>
      </w:r>
      <w:r w:rsidRPr="00380E0D">
        <w:t xml:space="preserve"> (8</w:t>
      </w:r>
      <w:r w:rsidRPr="00380E0D">
        <w:rPr>
          <w:vertAlign w:val="superscript"/>
        </w:rPr>
        <w:t>th</w:t>
      </w:r>
      <w:r w:rsidRPr="00380E0D">
        <w:t xml:space="preserve"> Edition, Second Supplement, December 2023), Section 7.9</w:t>
      </w:r>
      <w:r w:rsidR="00325766">
        <w:t xml:space="preserve"> </w:t>
      </w:r>
      <w:r w:rsidR="008155E8" w:rsidRPr="008155E8">
        <w:rPr>
          <w:color w:val="FF0000"/>
        </w:rPr>
        <w:t>[EF</w:t>
      </w:r>
      <w:r w:rsidR="00C54D23">
        <w:rPr>
          <w:color w:val="FF0000"/>
        </w:rPr>
        <w:t>.4</w:t>
      </w:r>
      <w:r w:rsidR="00565023">
        <w:rPr>
          <w:color w:val="FF0000"/>
        </w:rPr>
        <w:t>862</w:t>
      </w:r>
      <w:r w:rsidR="008155E8" w:rsidRPr="008155E8">
        <w:rPr>
          <w:color w:val="FF0000"/>
        </w:rPr>
        <w:t>]</w:t>
      </w:r>
      <w:r w:rsidRPr="00380E0D">
        <w:t xml:space="preserve">. </w:t>
      </w:r>
    </w:p>
    <w:p w14:paraId="26B7C003" w14:textId="77777777" w:rsidR="007245E1" w:rsidRPr="00380E0D" w:rsidRDefault="007245E1" w:rsidP="00740FA9">
      <w:pPr>
        <w:pStyle w:val="FootnoteText"/>
        <w:spacing w:line="276" w:lineRule="auto"/>
        <w:jc w:val="both"/>
      </w:pPr>
    </w:p>
  </w:footnote>
  <w:footnote w:id="14">
    <w:p w14:paraId="683C22D1" w14:textId="240F89A4" w:rsidR="00AD0435" w:rsidRPr="00380E0D" w:rsidRDefault="00AD0435" w:rsidP="00FB40E9">
      <w:pPr>
        <w:pStyle w:val="FootnoteText"/>
        <w:spacing w:line="276" w:lineRule="auto"/>
        <w:jc w:val="both"/>
      </w:pPr>
      <w:r w:rsidRPr="00380E0D">
        <w:rPr>
          <w:rStyle w:val="FootnoteReference"/>
        </w:rPr>
        <w:footnoteRef/>
      </w:r>
      <w:r w:rsidRPr="00380E0D">
        <w:t xml:space="preserve"> </w:t>
      </w:r>
      <w:r w:rsidR="00074E2E" w:rsidRPr="00740FA9">
        <w:t xml:space="preserve">The </w:t>
      </w:r>
      <w:r w:rsidR="00074E2E" w:rsidRPr="00FB40E9">
        <w:t>Commission has advised service-providers that they should not ask to see a GRC when presented with a potential customer who is transgender</w:t>
      </w:r>
      <w:r w:rsidR="00074E2E" w:rsidRPr="00740FA9">
        <w:t xml:space="preserve"> in its </w:t>
      </w:r>
      <w:r w:rsidRPr="00380E0D">
        <w:t xml:space="preserve">Single Sex Service Guidance, </w:t>
      </w:r>
      <w:r w:rsidR="001E5C4A" w:rsidRPr="00380E0D">
        <w:t>p.11</w:t>
      </w:r>
      <w:r w:rsidR="008155E8">
        <w:t xml:space="preserve"> </w:t>
      </w:r>
      <w:r w:rsidR="008155E8" w:rsidRPr="008155E8">
        <w:rPr>
          <w:color w:val="FF0000"/>
        </w:rPr>
        <w:t>[EF</w:t>
      </w:r>
      <w:r w:rsidR="003706F3">
        <w:rPr>
          <w:color w:val="FF0000"/>
        </w:rPr>
        <w:t>.4</w:t>
      </w:r>
      <w:r w:rsidR="00565023">
        <w:rPr>
          <w:color w:val="FF0000"/>
        </w:rPr>
        <w:t>839</w:t>
      </w:r>
      <w:r w:rsidR="008155E8" w:rsidRPr="008155E8">
        <w:rPr>
          <w:color w:val="FF0000"/>
        </w:rPr>
        <w:t>]</w:t>
      </w:r>
      <w:r w:rsidR="001E5C4A" w:rsidRPr="00380E0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154F6" w14:textId="77777777" w:rsidR="008212DD" w:rsidRDefault="008212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51F94"/>
    <w:multiLevelType w:val="hybridMultilevel"/>
    <w:tmpl w:val="70028E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AE2012"/>
    <w:multiLevelType w:val="hybridMultilevel"/>
    <w:tmpl w:val="E7F68B24"/>
    <w:lvl w:ilvl="0" w:tplc="0C1A7D40">
      <w:start w:val="1"/>
      <w:numFmt w:val="decimal"/>
      <w:lvlText w:val="%1."/>
      <w:lvlJc w:val="left"/>
      <w:pPr>
        <w:ind w:left="454" w:hanging="454"/>
      </w:pPr>
      <w:rPr>
        <w:rFonts w:hint="default"/>
        <w:i w:val="0"/>
        <w:iCs w:val="0"/>
      </w:rPr>
    </w:lvl>
    <w:lvl w:ilvl="1" w:tplc="F19696A4">
      <w:start w:val="1"/>
      <w:numFmt w:val="decimal"/>
      <w:lvlText w:val="(%2)"/>
      <w:lvlJc w:val="left"/>
      <w:pPr>
        <w:tabs>
          <w:tab w:val="num" w:pos="851"/>
        </w:tabs>
        <w:ind w:left="851" w:hanging="397"/>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024230"/>
    <w:multiLevelType w:val="hybridMultilevel"/>
    <w:tmpl w:val="EDCC4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5D3C66"/>
    <w:multiLevelType w:val="hybridMultilevel"/>
    <w:tmpl w:val="34E241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37E087A"/>
    <w:multiLevelType w:val="multilevel"/>
    <w:tmpl w:val="D77AF170"/>
    <w:styleLink w:val="CurrentList1"/>
    <w:lvl w:ilvl="0">
      <w:start w:val="1"/>
      <w:numFmt w:val="decimal"/>
      <w:lvlText w:val="%1."/>
      <w:lvlJc w:val="left"/>
      <w:pPr>
        <w:ind w:left="794" w:hanging="434"/>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D3B1CF4"/>
    <w:multiLevelType w:val="hybridMultilevel"/>
    <w:tmpl w:val="DBF8532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99405841">
    <w:abstractNumId w:val="1"/>
  </w:num>
  <w:num w:numId="2" w16cid:durableId="1427266331">
    <w:abstractNumId w:val="5"/>
  </w:num>
  <w:num w:numId="3" w16cid:durableId="1729722579">
    <w:abstractNumId w:val="3"/>
  </w:num>
  <w:num w:numId="4" w16cid:durableId="2142110814">
    <w:abstractNumId w:val="2"/>
  </w:num>
  <w:num w:numId="5" w16cid:durableId="1756515247">
    <w:abstractNumId w:val="0"/>
  </w:num>
  <w:num w:numId="6" w16cid:durableId="12216767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9DD"/>
    <w:rsid w:val="00005240"/>
    <w:rsid w:val="00011EB9"/>
    <w:rsid w:val="00013014"/>
    <w:rsid w:val="000162B4"/>
    <w:rsid w:val="00016BEE"/>
    <w:rsid w:val="000231BE"/>
    <w:rsid w:val="000263D2"/>
    <w:rsid w:val="000268FE"/>
    <w:rsid w:val="00027430"/>
    <w:rsid w:val="00031252"/>
    <w:rsid w:val="00043EB5"/>
    <w:rsid w:val="000456AB"/>
    <w:rsid w:val="000514FE"/>
    <w:rsid w:val="00053BA8"/>
    <w:rsid w:val="00064CA1"/>
    <w:rsid w:val="00067086"/>
    <w:rsid w:val="00072C04"/>
    <w:rsid w:val="000738E6"/>
    <w:rsid w:val="00073910"/>
    <w:rsid w:val="0007394C"/>
    <w:rsid w:val="00074E2E"/>
    <w:rsid w:val="00074E3F"/>
    <w:rsid w:val="00075D95"/>
    <w:rsid w:val="00075F96"/>
    <w:rsid w:val="00076279"/>
    <w:rsid w:val="00080DBB"/>
    <w:rsid w:val="00083913"/>
    <w:rsid w:val="000862B0"/>
    <w:rsid w:val="00091C34"/>
    <w:rsid w:val="00091C82"/>
    <w:rsid w:val="00093A9B"/>
    <w:rsid w:val="00095AE3"/>
    <w:rsid w:val="00096271"/>
    <w:rsid w:val="000977BF"/>
    <w:rsid w:val="000A3AF6"/>
    <w:rsid w:val="000A4CE1"/>
    <w:rsid w:val="000A6249"/>
    <w:rsid w:val="000A6ABE"/>
    <w:rsid w:val="000B272C"/>
    <w:rsid w:val="000B2B07"/>
    <w:rsid w:val="000B5F96"/>
    <w:rsid w:val="000B6D75"/>
    <w:rsid w:val="000C321C"/>
    <w:rsid w:val="000C4012"/>
    <w:rsid w:val="000C4168"/>
    <w:rsid w:val="000C5DAF"/>
    <w:rsid w:val="000C5E1F"/>
    <w:rsid w:val="000C6801"/>
    <w:rsid w:val="000C72D5"/>
    <w:rsid w:val="000D02ED"/>
    <w:rsid w:val="000E2CB9"/>
    <w:rsid w:val="000E48E2"/>
    <w:rsid w:val="000E53C6"/>
    <w:rsid w:val="000E7854"/>
    <w:rsid w:val="000F072A"/>
    <w:rsid w:val="000F5F3E"/>
    <w:rsid w:val="000F6C0F"/>
    <w:rsid w:val="001016C0"/>
    <w:rsid w:val="0010367B"/>
    <w:rsid w:val="0010616A"/>
    <w:rsid w:val="00107187"/>
    <w:rsid w:val="00107640"/>
    <w:rsid w:val="00107BB4"/>
    <w:rsid w:val="00114C78"/>
    <w:rsid w:val="00116A7E"/>
    <w:rsid w:val="00120A37"/>
    <w:rsid w:val="00120D55"/>
    <w:rsid w:val="00122D0D"/>
    <w:rsid w:val="00123023"/>
    <w:rsid w:val="00123A05"/>
    <w:rsid w:val="00123A4E"/>
    <w:rsid w:val="00123F01"/>
    <w:rsid w:val="00123F9B"/>
    <w:rsid w:val="001269E7"/>
    <w:rsid w:val="0013190F"/>
    <w:rsid w:val="0013412F"/>
    <w:rsid w:val="001344F1"/>
    <w:rsid w:val="0013472C"/>
    <w:rsid w:val="0013557C"/>
    <w:rsid w:val="00136929"/>
    <w:rsid w:val="00140699"/>
    <w:rsid w:val="00144EA3"/>
    <w:rsid w:val="0015370C"/>
    <w:rsid w:val="001635DE"/>
    <w:rsid w:val="001667DE"/>
    <w:rsid w:val="00166A1C"/>
    <w:rsid w:val="001670F9"/>
    <w:rsid w:val="00171F8C"/>
    <w:rsid w:val="001764DD"/>
    <w:rsid w:val="001776C2"/>
    <w:rsid w:val="00180188"/>
    <w:rsid w:val="00181349"/>
    <w:rsid w:val="00183E69"/>
    <w:rsid w:val="00186AE3"/>
    <w:rsid w:val="00187072"/>
    <w:rsid w:val="00187C39"/>
    <w:rsid w:val="00194265"/>
    <w:rsid w:val="001951FD"/>
    <w:rsid w:val="00196C75"/>
    <w:rsid w:val="001A3152"/>
    <w:rsid w:val="001A7C06"/>
    <w:rsid w:val="001B2512"/>
    <w:rsid w:val="001B38D2"/>
    <w:rsid w:val="001B7F53"/>
    <w:rsid w:val="001C229D"/>
    <w:rsid w:val="001C22B6"/>
    <w:rsid w:val="001C544A"/>
    <w:rsid w:val="001D112C"/>
    <w:rsid w:val="001D2EAF"/>
    <w:rsid w:val="001D45B2"/>
    <w:rsid w:val="001D6798"/>
    <w:rsid w:val="001E43C9"/>
    <w:rsid w:val="001E5C4A"/>
    <w:rsid w:val="001E7CAB"/>
    <w:rsid w:val="001E7DF9"/>
    <w:rsid w:val="001F095E"/>
    <w:rsid w:val="001F0F3E"/>
    <w:rsid w:val="001F0F4C"/>
    <w:rsid w:val="001F12E2"/>
    <w:rsid w:val="001F3133"/>
    <w:rsid w:val="00206389"/>
    <w:rsid w:val="0020657D"/>
    <w:rsid w:val="00210DEB"/>
    <w:rsid w:val="00211D7B"/>
    <w:rsid w:val="002127AB"/>
    <w:rsid w:val="00220998"/>
    <w:rsid w:val="00224304"/>
    <w:rsid w:val="00224BF9"/>
    <w:rsid w:val="00235A4E"/>
    <w:rsid w:val="00236225"/>
    <w:rsid w:val="0023771D"/>
    <w:rsid w:val="00241742"/>
    <w:rsid w:val="00244FFE"/>
    <w:rsid w:val="002536BD"/>
    <w:rsid w:val="002561C4"/>
    <w:rsid w:val="00262BAD"/>
    <w:rsid w:val="00263BAA"/>
    <w:rsid w:val="00265226"/>
    <w:rsid w:val="00267995"/>
    <w:rsid w:val="002679EE"/>
    <w:rsid w:val="0027148B"/>
    <w:rsid w:val="00273486"/>
    <w:rsid w:val="002760F1"/>
    <w:rsid w:val="00276541"/>
    <w:rsid w:val="00280584"/>
    <w:rsid w:val="002814F9"/>
    <w:rsid w:val="00283324"/>
    <w:rsid w:val="00284120"/>
    <w:rsid w:val="00285363"/>
    <w:rsid w:val="00286354"/>
    <w:rsid w:val="00286A2E"/>
    <w:rsid w:val="00287C78"/>
    <w:rsid w:val="0029091A"/>
    <w:rsid w:val="0029156A"/>
    <w:rsid w:val="00293527"/>
    <w:rsid w:val="002951B5"/>
    <w:rsid w:val="002A2EE3"/>
    <w:rsid w:val="002A3971"/>
    <w:rsid w:val="002A669A"/>
    <w:rsid w:val="002A68AD"/>
    <w:rsid w:val="002B22B4"/>
    <w:rsid w:val="002B7622"/>
    <w:rsid w:val="002C1648"/>
    <w:rsid w:val="002C2771"/>
    <w:rsid w:val="002C28ED"/>
    <w:rsid w:val="002C4EB6"/>
    <w:rsid w:val="002D16FC"/>
    <w:rsid w:val="002D33BD"/>
    <w:rsid w:val="002D3B69"/>
    <w:rsid w:val="002D7864"/>
    <w:rsid w:val="002E1363"/>
    <w:rsid w:val="002F2DEF"/>
    <w:rsid w:val="002F335A"/>
    <w:rsid w:val="002F53F1"/>
    <w:rsid w:val="002F592D"/>
    <w:rsid w:val="002F6102"/>
    <w:rsid w:val="0030218C"/>
    <w:rsid w:val="0030576D"/>
    <w:rsid w:val="00307E33"/>
    <w:rsid w:val="00310007"/>
    <w:rsid w:val="00313B84"/>
    <w:rsid w:val="0031465B"/>
    <w:rsid w:val="00320FEB"/>
    <w:rsid w:val="00323B25"/>
    <w:rsid w:val="00325766"/>
    <w:rsid w:val="00332D6E"/>
    <w:rsid w:val="00332FF8"/>
    <w:rsid w:val="003344B1"/>
    <w:rsid w:val="00335029"/>
    <w:rsid w:val="0033719E"/>
    <w:rsid w:val="003372CC"/>
    <w:rsid w:val="00341167"/>
    <w:rsid w:val="00345DF7"/>
    <w:rsid w:val="00353049"/>
    <w:rsid w:val="00357214"/>
    <w:rsid w:val="003606C0"/>
    <w:rsid w:val="00362937"/>
    <w:rsid w:val="00363248"/>
    <w:rsid w:val="00364CBC"/>
    <w:rsid w:val="003706F3"/>
    <w:rsid w:val="00371517"/>
    <w:rsid w:val="00374C3A"/>
    <w:rsid w:val="003773CF"/>
    <w:rsid w:val="00380228"/>
    <w:rsid w:val="00380E0D"/>
    <w:rsid w:val="00385694"/>
    <w:rsid w:val="0038695D"/>
    <w:rsid w:val="0039111A"/>
    <w:rsid w:val="003950D5"/>
    <w:rsid w:val="00396ECA"/>
    <w:rsid w:val="003977F6"/>
    <w:rsid w:val="003A4F01"/>
    <w:rsid w:val="003A5841"/>
    <w:rsid w:val="003B3558"/>
    <w:rsid w:val="003B57EE"/>
    <w:rsid w:val="003B735D"/>
    <w:rsid w:val="003C0BD5"/>
    <w:rsid w:val="003C3EF3"/>
    <w:rsid w:val="003C5A88"/>
    <w:rsid w:val="003C60AA"/>
    <w:rsid w:val="003C6BA1"/>
    <w:rsid w:val="003C7435"/>
    <w:rsid w:val="003D086B"/>
    <w:rsid w:val="003D1D06"/>
    <w:rsid w:val="003D7960"/>
    <w:rsid w:val="003D7BC7"/>
    <w:rsid w:val="003E0FD7"/>
    <w:rsid w:val="003E1343"/>
    <w:rsid w:val="003E1FFC"/>
    <w:rsid w:val="003E2303"/>
    <w:rsid w:val="003E241E"/>
    <w:rsid w:val="003E54DC"/>
    <w:rsid w:val="003E6B95"/>
    <w:rsid w:val="003F02A6"/>
    <w:rsid w:val="003F3730"/>
    <w:rsid w:val="003F5D23"/>
    <w:rsid w:val="00404351"/>
    <w:rsid w:val="00407307"/>
    <w:rsid w:val="00410161"/>
    <w:rsid w:val="004107C3"/>
    <w:rsid w:val="00412C97"/>
    <w:rsid w:val="00416759"/>
    <w:rsid w:val="00424F21"/>
    <w:rsid w:val="00427756"/>
    <w:rsid w:val="004278FB"/>
    <w:rsid w:val="00431297"/>
    <w:rsid w:val="00437589"/>
    <w:rsid w:val="00437B7E"/>
    <w:rsid w:val="00441A5F"/>
    <w:rsid w:val="0044232B"/>
    <w:rsid w:val="0044349E"/>
    <w:rsid w:val="004436AE"/>
    <w:rsid w:val="00443929"/>
    <w:rsid w:val="004511FA"/>
    <w:rsid w:val="00451BDE"/>
    <w:rsid w:val="00451F81"/>
    <w:rsid w:val="0045507B"/>
    <w:rsid w:val="0045524E"/>
    <w:rsid w:val="004552FE"/>
    <w:rsid w:val="00456AA5"/>
    <w:rsid w:val="00464FC7"/>
    <w:rsid w:val="00467DFF"/>
    <w:rsid w:val="00471952"/>
    <w:rsid w:val="00472100"/>
    <w:rsid w:val="00473033"/>
    <w:rsid w:val="0047360B"/>
    <w:rsid w:val="0047460F"/>
    <w:rsid w:val="004762EE"/>
    <w:rsid w:val="00483EC7"/>
    <w:rsid w:val="00484E46"/>
    <w:rsid w:val="00484EFF"/>
    <w:rsid w:val="004867AD"/>
    <w:rsid w:val="00492FAE"/>
    <w:rsid w:val="00493428"/>
    <w:rsid w:val="0049602A"/>
    <w:rsid w:val="0049646F"/>
    <w:rsid w:val="00496F7F"/>
    <w:rsid w:val="004A4B1F"/>
    <w:rsid w:val="004A5827"/>
    <w:rsid w:val="004B0BF8"/>
    <w:rsid w:val="004B2B82"/>
    <w:rsid w:val="004B4E6F"/>
    <w:rsid w:val="004C261C"/>
    <w:rsid w:val="004C5AEE"/>
    <w:rsid w:val="004C60E3"/>
    <w:rsid w:val="004D17E9"/>
    <w:rsid w:val="004D28A9"/>
    <w:rsid w:val="004D2B92"/>
    <w:rsid w:val="004D604F"/>
    <w:rsid w:val="004D677D"/>
    <w:rsid w:val="004F0160"/>
    <w:rsid w:val="004F48DE"/>
    <w:rsid w:val="004F4DB7"/>
    <w:rsid w:val="004F4F78"/>
    <w:rsid w:val="00511B9B"/>
    <w:rsid w:val="005130F1"/>
    <w:rsid w:val="00513910"/>
    <w:rsid w:val="00514767"/>
    <w:rsid w:val="00517AFE"/>
    <w:rsid w:val="00521FD0"/>
    <w:rsid w:val="005221D7"/>
    <w:rsid w:val="00523C0D"/>
    <w:rsid w:val="005259DD"/>
    <w:rsid w:val="00526B11"/>
    <w:rsid w:val="00526E24"/>
    <w:rsid w:val="0053661D"/>
    <w:rsid w:val="00536BFF"/>
    <w:rsid w:val="00541A6D"/>
    <w:rsid w:val="00543B28"/>
    <w:rsid w:val="005528C2"/>
    <w:rsid w:val="00565023"/>
    <w:rsid w:val="00565CC6"/>
    <w:rsid w:val="00574128"/>
    <w:rsid w:val="00574389"/>
    <w:rsid w:val="0057648D"/>
    <w:rsid w:val="00592371"/>
    <w:rsid w:val="00594F29"/>
    <w:rsid w:val="00596477"/>
    <w:rsid w:val="005970B4"/>
    <w:rsid w:val="00597268"/>
    <w:rsid w:val="005A771F"/>
    <w:rsid w:val="005B1A86"/>
    <w:rsid w:val="005C1B41"/>
    <w:rsid w:val="005C2C8D"/>
    <w:rsid w:val="005C5D09"/>
    <w:rsid w:val="005D1192"/>
    <w:rsid w:val="005D2DDC"/>
    <w:rsid w:val="005D3947"/>
    <w:rsid w:val="005D49EA"/>
    <w:rsid w:val="005E12C8"/>
    <w:rsid w:val="005E34D2"/>
    <w:rsid w:val="005E4916"/>
    <w:rsid w:val="005E51A1"/>
    <w:rsid w:val="005F301B"/>
    <w:rsid w:val="005F6E1F"/>
    <w:rsid w:val="0060104C"/>
    <w:rsid w:val="00601930"/>
    <w:rsid w:val="00606916"/>
    <w:rsid w:val="00621F2F"/>
    <w:rsid w:val="00622564"/>
    <w:rsid w:val="00626743"/>
    <w:rsid w:val="00633A56"/>
    <w:rsid w:val="006355B1"/>
    <w:rsid w:val="006359AC"/>
    <w:rsid w:val="00635E4B"/>
    <w:rsid w:val="00637778"/>
    <w:rsid w:val="00642505"/>
    <w:rsid w:val="00644148"/>
    <w:rsid w:val="006447F0"/>
    <w:rsid w:val="00647C58"/>
    <w:rsid w:val="00653934"/>
    <w:rsid w:val="00654407"/>
    <w:rsid w:val="006556E8"/>
    <w:rsid w:val="00655950"/>
    <w:rsid w:val="006571E9"/>
    <w:rsid w:val="006630FC"/>
    <w:rsid w:val="00670A1F"/>
    <w:rsid w:val="00675C41"/>
    <w:rsid w:val="00676FC6"/>
    <w:rsid w:val="006831BE"/>
    <w:rsid w:val="00686B3A"/>
    <w:rsid w:val="006873AB"/>
    <w:rsid w:val="00687776"/>
    <w:rsid w:val="00690451"/>
    <w:rsid w:val="00691874"/>
    <w:rsid w:val="0069239E"/>
    <w:rsid w:val="00692560"/>
    <w:rsid w:val="00692B58"/>
    <w:rsid w:val="006963A0"/>
    <w:rsid w:val="00696B95"/>
    <w:rsid w:val="006B009D"/>
    <w:rsid w:val="006B0DAB"/>
    <w:rsid w:val="006B2C0C"/>
    <w:rsid w:val="006B4925"/>
    <w:rsid w:val="006B5919"/>
    <w:rsid w:val="006C2E1C"/>
    <w:rsid w:val="006D23C9"/>
    <w:rsid w:val="006D47AA"/>
    <w:rsid w:val="006D6212"/>
    <w:rsid w:val="006E043B"/>
    <w:rsid w:val="006E26CD"/>
    <w:rsid w:val="006E2B48"/>
    <w:rsid w:val="006F2D78"/>
    <w:rsid w:val="006F3CE7"/>
    <w:rsid w:val="006F49F6"/>
    <w:rsid w:val="006F4EB9"/>
    <w:rsid w:val="00700376"/>
    <w:rsid w:val="00700464"/>
    <w:rsid w:val="007057BB"/>
    <w:rsid w:val="00706D98"/>
    <w:rsid w:val="0070758A"/>
    <w:rsid w:val="00713202"/>
    <w:rsid w:val="007144E3"/>
    <w:rsid w:val="007245BD"/>
    <w:rsid w:val="007245E1"/>
    <w:rsid w:val="00726AAA"/>
    <w:rsid w:val="00727917"/>
    <w:rsid w:val="00730A8E"/>
    <w:rsid w:val="00731666"/>
    <w:rsid w:val="00732120"/>
    <w:rsid w:val="0073608D"/>
    <w:rsid w:val="00737AC8"/>
    <w:rsid w:val="00740FA9"/>
    <w:rsid w:val="00742BF0"/>
    <w:rsid w:val="007475F6"/>
    <w:rsid w:val="007507FC"/>
    <w:rsid w:val="007558E0"/>
    <w:rsid w:val="007563D3"/>
    <w:rsid w:val="00763477"/>
    <w:rsid w:val="007660F9"/>
    <w:rsid w:val="00767873"/>
    <w:rsid w:val="00773281"/>
    <w:rsid w:val="00773AF3"/>
    <w:rsid w:val="007753B8"/>
    <w:rsid w:val="00777C60"/>
    <w:rsid w:val="00780D19"/>
    <w:rsid w:val="0078279C"/>
    <w:rsid w:val="00783F59"/>
    <w:rsid w:val="00785447"/>
    <w:rsid w:val="007858FF"/>
    <w:rsid w:val="007945F4"/>
    <w:rsid w:val="0079543E"/>
    <w:rsid w:val="00795E3E"/>
    <w:rsid w:val="007A018F"/>
    <w:rsid w:val="007A0B45"/>
    <w:rsid w:val="007A26D7"/>
    <w:rsid w:val="007B046C"/>
    <w:rsid w:val="007B2C0F"/>
    <w:rsid w:val="007C081F"/>
    <w:rsid w:val="007C2619"/>
    <w:rsid w:val="007D097D"/>
    <w:rsid w:val="007D6162"/>
    <w:rsid w:val="007E18AF"/>
    <w:rsid w:val="007E1A90"/>
    <w:rsid w:val="007E66F4"/>
    <w:rsid w:val="007E7F31"/>
    <w:rsid w:val="007F1F29"/>
    <w:rsid w:val="007F7CAA"/>
    <w:rsid w:val="00801E20"/>
    <w:rsid w:val="0080421E"/>
    <w:rsid w:val="00805776"/>
    <w:rsid w:val="0081339B"/>
    <w:rsid w:val="008155E8"/>
    <w:rsid w:val="008212DD"/>
    <w:rsid w:val="00821A2C"/>
    <w:rsid w:val="00822475"/>
    <w:rsid w:val="00823A29"/>
    <w:rsid w:val="00824318"/>
    <w:rsid w:val="0082639E"/>
    <w:rsid w:val="0082739F"/>
    <w:rsid w:val="008277C6"/>
    <w:rsid w:val="00832ACE"/>
    <w:rsid w:val="00840854"/>
    <w:rsid w:val="00843616"/>
    <w:rsid w:val="00843789"/>
    <w:rsid w:val="008440A2"/>
    <w:rsid w:val="00844807"/>
    <w:rsid w:val="0084681E"/>
    <w:rsid w:val="00851278"/>
    <w:rsid w:val="008538D9"/>
    <w:rsid w:val="00863AAC"/>
    <w:rsid w:val="00865551"/>
    <w:rsid w:val="008739A5"/>
    <w:rsid w:val="00874520"/>
    <w:rsid w:val="008747D6"/>
    <w:rsid w:val="00882AFE"/>
    <w:rsid w:val="00885F75"/>
    <w:rsid w:val="00887C70"/>
    <w:rsid w:val="00897AD1"/>
    <w:rsid w:val="00897CAC"/>
    <w:rsid w:val="008A3716"/>
    <w:rsid w:val="008B08B2"/>
    <w:rsid w:val="008B1726"/>
    <w:rsid w:val="008B3726"/>
    <w:rsid w:val="008B477B"/>
    <w:rsid w:val="008C0422"/>
    <w:rsid w:val="008C0E28"/>
    <w:rsid w:val="008C5318"/>
    <w:rsid w:val="008D2522"/>
    <w:rsid w:val="008D400D"/>
    <w:rsid w:val="008D791D"/>
    <w:rsid w:val="008E0652"/>
    <w:rsid w:val="008E1A6F"/>
    <w:rsid w:val="008E1E23"/>
    <w:rsid w:val="008E6487"/>
    <w:rsid w:val="008F42CA"/>
    <w:rsid w:val="009017D7"/>
    <w:rsid w:val="00902816"/>
    <w:rsid w:val="00903574"/>
    <w:rsid w:val="009046D2"/>
    <w:rsid w:val="00913341"/>
    <w:rsid w:val="00913FDD"/>
    <w:rsid w:val="00914BF6"/>
    <w:rsid w:val="00916100"/>
    <w:rsid w:val="009243D1"/>
    <w:rsid w:val="009331BD"/>
    <w:rsid w:val="009339C3"/>
    <w:rsid w:val="009353D2"/>
    <w:rsid w:val="00935C1F"/>
    <w:rsid w:val="0093796B"/>
    <w:rsid w:val="00937981"/>
    <w:rsid w:val="0094227E"/>
    <w:rsid w:val="00943E05"/>
    <w:rsid w:val="00943E70"/>
    <w:rsid w:val="009513E1"/>
    <w:rsid w:val="00953BC5"/>
    <w:rsid w:val="00955D98"/>
    <w:rsid w:val="00970783"/>
    <w:rsid w:val="00972E97"/>
    <w:rsid w:val="00973C55"/>
    <w:rsid w:val="00975685"/>
    <w:rsid w:val="00980BFE"/>
    <w:rsid w:val="009811D0"/>
    <w:rsid w:val="00983FB6"/>
    <w:rsid w:val="00984A5D"/>
    <w:rsid w:val="00984AB9"/>
    <w:rsid w:val="009975A7"/>
    <w:rsid w:val="009979F6"/>
    <w:rsid w:val="009A0921"/>
    <w:rsid w:val="009A328E"/>
    <w:rsid w:val="009A6259"/>
    <w:rsid w:val="009A6B41"/>
    <w:rsid w:val="009A7315"/>
    <w:rsid w:val="009B3CD0"/>
    <w:rsid w:val="009B5DB1"/>
    <w:rsid w:val="009B6A3E"/>
    <w:rsid w:val="009B71BC"/>
    <w:rsid w:val="009C52CC"/>
    <w:rsid w:val="009D1609"/>
    <w:rsid w:val="009D4CFC"/>
    <w:rsid w:val="009D5C21"/>
    <w:rsid w:val="009D5DB6"/>
    <w:rsid w:val="009D5E8F"/>
    <w:rsid w:val="009E1873"/>
    <w:rsid w:val="009E1A67"/>
    <w:rsid w:val="009E2AC3"/>
    <w:rsid w:val="009E53B0"/>
    <w:rsid w:val="009E7F32"/>
    <w:rsid w:val="009F21DF"/>
    <w:rsid w:val="009F6A61"/>
    <w:rsid w:val="00A00559"/>
    <w:rsid w:val="00A01466"/>
    <w:rsid w:val="00A021BF"/>
    <w:rsid w:val="00A071FE"/>
    <w:rsid w:val="00A1095D"/>
    <w:rsid w:val="00A153F9"/>
    <w:rsid w:val="00A1599D"/>
    <w:rsid w:val="00A15CC3"/>
    <w:rsid w:val="00A17F66"/>
    <w:rsid w:val="00A2004E"/>
    <w:rsid w:val="00A212D6"/>
    <w:rsid w:val="00A22FFE"/>
    <w:rsid w:val="00A23519"/>
    <w:rsid w:val="00A25141"/>
    <w:rsid w:val="00A252A9"/>
    <w:rsid w:val="00A26251"/>
    <w:rsid w:val="00A31639"/>
    <w:rsid w:val="00A32BAB"/>
    <w:rsid w:val="00A35D90"/>
    <w:rsid w:val="00A40309"/>
    <w:rsid w:val="00A4313F"/>
    <w:rsid w:val="00A446AF"/>
    <w:rsid w:val="00A519F2"/>
    <w:rsid w:val="00A6097C"/>
    <w:rsid w:val="00A60A53"/>
    <w:rsid w:val="00A60B38"/>
    <w:rsid w:val="00A61AAF"/>
    <w:rsid w:val="00A63609"/>
    <w:rsid w:val="00A645B6"/>
    <w:rsid w:val="00A64D4E"/>
    <w:rsid w:val="00A655C2"/>
    <w:rsid w:val="00A75FA7"/>
    <w:rsid w:val="00A77616"/>
    <w:rsid w:val="00A80D4E"/>
    <w:rsid w:val="00A94A85"/>
    <w:rsid w:val="00AA70DB"/>
    <w:rsid w:val="00AA7AB8"/>
    <w:rsid w:val="00AB005C"/>
    <w:rsid w:val="00AB1916"/>
    <w:rsid w:val="00AB7DDD"/>
    <w:rsid w:val="00AC083E"/>
    <w:rsid w:val="00AC0FF2"/>
    <w:rsid w:val="00AC37B4"/>
    <w:rsid w:val="00AC411A"/>
    <w:rsid w:val="00AD0435"/>
    <w:rsid w:val="00AD245D"/>
    <w:rsid w:val="00AD6166"/>
    <w:rsid w:val="00AE0C30"/>
    <w:rsid w:val="00AE345D"/>
    <w:rsid w:val="00AE62CF"/>
    <w:rsid w:val="00AE6F2B"/>
    <w:rsid w:val="00AE7DF8"/>
    <w:rsid w:val="00AF07CF"/>
    <w:rsid w:val="00AF0A0C"/>
    <w:rsid w:val="00AF6999"/>
    <w:rsid w:val="00AF6F12"/>
    <w:rsid w:val="00B02487"/>
    <w:rsid w:val="00B025A5"/>
    <w:rsid w:val="00B163DC"/>
    <w:rsid w:val="00B16FC7"/>
    <w:rsid w:val="00B1743F"/>
    <w:rsid w:val="00B17882"/>
    <w:rsid w:val="00B23253"/>
    <w:rsid w:val="00B23A73"/>
    <w:rsid w:val="00B327B0"/>
    <w:rsid w:val="00B3340A"/>
    <w:rsid w:val="00B349E1"/>
    <w:rsid w:val="00B35B1F"/>
    <w:rsid w:val="00B4179E"/>
    <w:rsid w:val="00B5182B"/>
    <w:rsid w:val="00B53036"/>
    <w:rsid w:val="00B56167"/>
    <w:rsid w:val="00B6395C"/>
    <w:rsid w:val="00B63ED4"/>
    <w:rsid w:val="00B71BDE"/>
    <w:rsid w:val="00B8077D"/>
    <w:rsid w:val="00B80EB7"/>
    <w:rsid w:val="00B821F3"/>
    <w:rsid w:val="00B8385C"/>
    <w:rsid w:val="00B84670"/>
    <w:rsid w:val="00B8550D"/>
    <w:rsid w:val="00BA19A0"/>
    <w:rsid w:val="00BA482F"/>
    <w:rsid w:val="00BA6872"/>
    <w:rsid w:val="00BA6F18"/>
    <w:rsid w:val="00BB0417"/>
    <w:rsid w:val="00BB2572"/>
    <w:rsid w:val="00BB4597"/>
    <w:rsid w:val="00BB469D"/>
    <w:rsid w:val="00BB6D4F"/>
    <w:rsid w:val="00BC4D86"/>
    <w:rsid w:val="00BC5094"/>
    <w:rsid w:val="00BD0F6B"/>
    <w:rsid w:val="00BD13CD"/>
    <w:rsid w:val="00BD7581"/>
    <w:rsid w:val="00BD7F9F"/>
    <w:rsid w:val="00BE3EFA"/>
    <w:rsid w:val="00BF0934"/>
    <w:rsid w:val="00BF3846"/>
    <w:rsid w:val="00BF5E73"/>
    <w:rsid w:val="00BF676C"/>
    <w:rsid w:val="00BF7D96"/>
    <w:rsid w:val="00C008FF"/>
    <w:rsid w:val="00C00EB3"/>
    <w:rsid w:val="00C01835"/>
    <w:rsid w:val="00C01BF2"/>
    <w:rsid w:val="00C02B6E"/>
    <w:rsid w:val="00C03524"/>
    <w:rsid w:val="00C14B9B"/>
    <w:rsid w:val="00C17BE1"/>
    <w:rsid w:val="00C2416A"/>
    <w:rsid w:val="00C27135"/>
    <w:rsid w:val="00C31891"/>
    <w:rsid w:val="00C34C1B"/>
    <w:rsid w:val="00C3746B"/>
    <w:rsid w:val="00C37569"/>
    <w:rsid w:val="00C40D23"/>
    <w:rsid w:val="00C50E01"/>
    <w:rsid w:val="00C525F8"/>
    <w:rsid w:val="00C53A39"/>
    <w:rsid w:val="00C53EB6"/>
    <w:rsid w:val="00C54D23"/>
    <w:rsid w:val="00C619A0"/>
    <w:rsid w:val="00C63BA8"/>
    <w:rsid w:val="00C66FB1"/>
    <w:rsid w:val="00C82134"/>
    <w:rsid w:val="00C83B01"/>
    <w:rsid w:val="00C85927"/>
    <w:rsid w:val="00C86687"/>
    <w:rsid w:val="00C956E3"/>
    <w:rsid w:val="00C972CC"/>
    <w:rsid w:val="00CA06DE"/>
    <w:rsid w:val="00CB101E"/>
    <w:rsid w:val="00CB1B01"/>
    <w:rsid w:val="00CB2664"/>
    <w:rsid w:val="00CB3D37"/>
    <w:rsid w:val="00CB63E8"/>
    <w:rsid w:val="00CC2ADD"/>
    <w:rsid w:val="00CC3D66"/>
    <w:rsid w:val="00CC4458"/>
    <w:rsid w:val="00CC45E7"/>
    <w:rsid w:val="00CC5304"/>
    <w:rsid w:val="00CC723A"/>
    <w:rsid w:val="00CD3BCF"/>
    <w:rsid w:val="00CD4EED"/>
    <w:rsid w:val="00CD6AB9"/>
    <w:rsid w:val="00CF01F2"/>
    <w:rsid w:val="00CF129E"/>
    <w:rsid w:val="00CF1E4E"/>
    <w:rsid w:val="00CF7207"/>
    <w:rsid w:val="00D02203"/>
    <w:rsid w:val="00D05912"/>
    <w:rsid w:val="00D0657E"/>
    <w:rsid w:val="00D06744"/>
    <w:rsid w:val="00D07F56"/>
    <w:rsid w:val="00D131A1"/>
    <w:rsid w:val="00D13C24"/>
    <w:rsid w:val="00D153F7"/>
    <w:rsid w:val="00D1613A"/>
    <w:rsid w:val="00D220B2"/>
    <w:rsid w:val="00D2793D"/>
    <w:rsid w:val="00D324DF"/>
    <w:rsid w:val="00D326CD"/>
    <w:rsid w:val="00D32885"/>
    <w:rsid w:val="00D3570E"/>
    <w:rsid w:val="00D4187B"/>
    <w:rsid w:val="00D43D44"/>
    <w:rsid w:val="00D452E4"/>
    <w:rsid w:val="00D4721E"/>
    <w:rsid w:val="00D50CD9"/>
    <w:rsid w:val="00D50FEB"/>
    <w:rsid w:val="00D53169"/>
    <w:rsid w:val="00D53764"/>
    <w:rsid w:val="00D54EE2"/>
    <w:rsid w:val="00D553E9"/>
    <w:rsid w:val="00D609DD"/>
    <w:rsid w:val="00D60EC8"/>
    <w:rsid w:val="00D63AC3"/>
    <w:rsid w:val="00D6574A"/>
    <w:rsid w:val="00D71521"/>
    <w:rsid w:val="00D7205A"/>
    <w:rsid w:val="00D73CBE"/>
    <w:rsid w:val="00D769F0"/>
    <w:rsid w:val="00D80162"/>
    <w:rsid w:val="00D82B1B"/>
    <w:rsid w:val="00D90040"/>
    <w:rsid w:val="00D95886"/>
    <w:rsid w:val="00D96291"/>
    <w:rsid w:val="00D97B43"/>
    <w:rsid w:val="00DA60B0"/>
    <w:rsid w:val="00DB00C1"/>
    <w:rsid w:val="00DB37C7"/>
    <w:rsid w:val="00DB6936"/>
    <w:rsid w:val="00DB6FE2"/>
    <w:rsid w:val="00DC0440"/>
    <w:rsid w:val="00DC1684"/>
    <w:rsid w:val="00DC27C4"/>
    <w:rsid w:val="00DC7440"/>
    <w:rsid w:val="00DC7865"/>
    <w:rsid w:val="00DD3D37"/>
    <w:rsid w:val="00DE6699"/>
    <w:rsid w:val="00DE7B85"/>
    <w:rsid w:val="00DF0468"/>
    <w:rsid w:val="00DF1BCB"/>
    <w:rsid w:val="00DF275E"/>
    <w:rsid w:val="00DF3E10"/>
    <w:rsid w:val="00DF630C"/>
    <w:rsid w:val="00E04EEC"/>
    <w:rsid w:val="00E0624F"/>
    <w:rsid w:val="00E0699B"/>
    <w:rsid w:val="00E06B91"/>
    <w:rsid w:val="00E0729A"/>
    <w:rsid w:val="00E123BE"/>
    <w:rsid w:val="00E12445"/>
    <w:rsid w:val="00E133D3"/>
    <w:rsid w:val="00E1532D"/>
    <w:rsid w:val="00E16242"/>
    <w:rsid w:val="00E1768E"/>
    <w:rsid w:val="00E20001"/>
    <w:rsid w:val="00E21E53"/>
    <w:rsid w:val="00E33BDB"/>
    <w:rsid w:val="00E356CE"/>
    <w:rsid w:val="00E3607A"/>
    <w:rsid w:val="00E37B18"/>
    <w:rsid w:val="00E42F2B"/>
    <w:rsid w:val="00E43975"/>
    <w:rsid w:val="00E4637F"/>
    <w:rsid w:val="00E46482"/>
    <w:rsid w:val="00E56044"/>
    <w:rsid w:val="00E57481"/>
    <w:rsid w:val="00E603AD"/>
    <w:rsid w:val="00E62005"/>
    <w:rsid w:val="00E644CD"/>
    <w:rsid w:val="00E64F07"/>
    <w:rsid w:val="00E712AE"/>
    <w:rsid w:val="00E745FB"/>
    <w:rsid w:val="00E7600A"/>
    <w:rsid w:val="00E81FD7"/>
    <w:rsid w:val="00E833C9"/>
    <w:rsid w:val="00E85732"/>
    <w:rsid w:val="00E9380B"/>
    <w:rsid w:val="00E9465A"/>
    <w:rsid w:val="00E9473D"/>
    <w:rsid w:val="00E9722D"/>
    <w:rsid w:val="00EA46DE"/>
    <w:rsid w:val="00EA485A"/>
    <w:rsid w:val="00EA6128"/>
    <w:rsid w:val="00EB376F"/>
    <w:rsid w:val="00EB55AB"/>
    <w:rsid w:val="00EB5721"/>
    <w:rsid w:val="00EC32EE"/>
    <w:rsid w:val="00EC4187"/>
    <w:rsid w:val="00EC6E55"/>
    <w:rsid w:val="00EC7151"/>
    <w:rsid w:val="00ED2DFE"/>
    <w:rsid w:val="00ED7227"/>
    <w:rsid w:val="00EE17EF"/>
    <w:rsid w:val="00EE23C7"/>
    <w:rsid w:val="00EE3174"/>
    <w:rsid w:val="00EE4602"/>
    <w:rsid w:val="00EF19A7"/>
    <w:rsid w:val="00EF7D3C"/>
    <w:rsid w:val="00F00ADE"/>
    <w:rsid w:val="00F01213"/>
    <w:rsid w:val="00F0175D"/>
    <w:rsid w:val="00F076A8"/>
    <w:rsid w:val="00F1033F"/>
    <w:rsid w:val="00F16C97"/>
    <w:rsid w:val="00F17A5B"/>
    <w:rsid w:val="00F2063E"/>
    <w:rsid w:val="00F21D19"/>
    <w:rsid w:val="00F26C9A"/>
    <w:rsid w:val="00F27CAC"/>
    <w:rsid w:val="00F305C5"/>
    <w:rsid w:val="00F3238D"/>
    <w:rsid w:val="00F32608"/>
    <w:rsid w:val="00F42E24"/>
    <w:rsid w:val="00F54431"/>
    <w:rsid w:val="00F54DB3"/>
    <w:rsid w:val="00F5569C"/>
    <w:rsid w:val="00F558D4"/>
    <w:rsid w:val="00F57B65"/>
    <w:rsid w:val="00F71106"/>
    <w:rsid w:val="00F712B1"/>
    <w:rsid w:val="00F71900"/>
    <w:rsid w:val="00F7288A"/>
    <w:rsid w:val="00F73919"/>
    <w:rsid w:val="00F75CA5"/>
    <w:rsid w:val="00F82E82"/>
    <w:rsid w:val="00F84E06"/>
    <w:rsid w:val="00F863A1"/>
    <w:rsid w:val="00F90F16"/>
    <w:rsid w:val="00F94009"/>
    <w:rsid w:val="00F96F94"/>
    <w:rsid w:val="00FA19B7"/>
    <w:rsid w:val="00FA454D"/>
    <w:rsid w:val="00FA6F85"/>
    <w:rsid w:val="00FB0453"/>
    <w:rsid w:val="00FB0B39"/>
    <w:rsid w:val="00FB40E9"/>
    <w:rsid w:val="00FB4662"/>
    <w:rsid w:val="00FB59F9"/>
    <w:rsid w:val="00FB703B"/>
    <w:rsid w:val="00FC21F7"/>
    <w:rsid w:val="00FC2835"/>
    <w:rsid w:val="00FC4079"/>
    <w:rsid w:val="00FC48B6"/>
    <w:rsid w:val="00FD01EF"/>
    <w:rsid w:val="00FD4A12"/>
    <w:rsid w:val="00FD6F7F"/>
    <w:rsid w:val="00FE245C"/>
    <w:rsid w:val="00FE267B"/>
    <w:rsid w:val="00FF1B83"/>
    <w:rsid w:val="14A5D95A"/>
    <w:rsid w:val="14BC3FC5"/>
    <w:rsid w:val="16C2E258"/>
    <w:rsid w:val="174DD90F"/>
    <w:rsid w:val="183055B5"/>
    <w:rsid w:val="1BED559B"/>
    <w:rsid w:val="1CE61EC6"/>
    <w:rsid w:val="1F00DEAD"/>
    <w:rsid w:val="239EEB12"/>
    <w:rsid w:val="23E935DD"/>
    <w:rsid w:val="27D7A573"/>
    <w:rsid w:val="297E157C"/>
    <w:rsid w:val="2C924A1C"/>
    <w:rsid w:val="2E18A535"/>
    <w:rsid w:val="31230B20"/>
    <w:rsid w:val="34CF765C"/>
    <w:rsid w:val="378EEF53"/>
    <w:rsid w:val="39F44BE0"/>
    <w:rsid w:val="3CC997EE"/>
    <w:rsid w:val="423C8CA1"/>
    <w:rsid w:val="43FB9223"/>
    <w:rsid w:val="45BD96DE"/>
    <w:rsid w:val="4E05FD26"/>
    <w:rsid w:val="4F449EA2"/>
    <w:rsid w:val="58A20E96"/>
    <w:rsid w:val="5D16DF09"/>
    <w:rsid w:val="5E1CEBC9"/>
    <w:rsid w:val="5E8D8832"/>
    <w:rsid w:val="612975DC"/>
    <w:rsid w:val="6546B731"/>
    <w:rsid w:val="69500F5E"/>
    <w:rsid w:val="6C3C996C"/>
    <w:rsid w:val="6CAB1DDA"/>
    <w:rsid w:val="72E3D981"/>
    <w:rsid w:val="772A00CF"/>
    <w:rsid w:val="77B8C91F"/>
    <w:rsid w:val="78455E92"/>
    <w:rsid w:val="7A1E7676"/>
    <w:rsid w:val="7D502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414D9"/>
  <w15:chartTrackingRefBased/>
  <w15:docId w15:val="{0252C548-3198-3346-BFE6-CD9D9A950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0161"/>
    <w:pPr>
      <w:spacing w:line="360" w:lineRule="auto"/>
      <w:ind w:left="720" w:hanging="360"/>
      <w:jc w:val="both"/>
      <w:outlineLvl w:val="0"/>
    </w:pPr>
    <w:rPr>
      <w:rFonts w:ascii="Times New Roman" w:hAnsi="Times New Roman"/>
      <w:b/>
      <w:bCs/>
      <w:u w:val="single"/>
    </w:rPr>
  </w:style>
  <w:style w:type="paragraph" w:styleId="Heading2">
    <w:name w:val="heading 2"/>
    <w:basedOn w:val="ListParagraph"/>
    <w:next w:val="Normal"/>
    <w:link w:val="Heading2Char"/>
    <w:uiPriority w:val="9"/>
    <w:unhideWhenUsed/>
    <w:qFormat/>
    <w:rsid w:val="00074E3F"/>
    <w:pPr>
      <w:spacing w:line="360" w:lineRule="auto"/>
      <w:ind w:left="0" w:firstLine="360"/>
      <w:jc w:val="both"/>
      <w:outlineLvl w:val="1"/>
    </w:pPr>
    <w:rPr>
      <w:b/>
      <w:bCs/>
      <w:i/>
      <w:iCs/>
      <w:u w:val="single"/>
    </w:rPr>
  </w:style>
  <w:style w:type="paragraph" w:styleId="Heading3">
    <w:name w:val="heading 3"/>
    <w:basedOn w:val="ListParagraph"/>
    <w:next w:val="Normal"/>
    <w:link w:val="Heading3Char"/>
    <w:uiPriority w:val="9"/>
    <w:unhideWhenUsed/>
    <w:qFormat/>
    <w:rsid w:val="00074E3F"/>
    <w:pPr>
      <w:spacing w:line="360" w:lineRule="auto"/>
      <w:ind w:firstLine="74"/>
      <w:jc w:val="both"/>
      <w:outlineLvl w:val="2"/>
    </w:pPr>
    <w:rPr>
      <w:u w:val="single"/>
    </w:rPr>
  </w:style>
  <w:style w:type="paragraph" w:styleId="Heading4">
    <w:name w:val="heading 4"/>
    <w:basedOn w:val="Normal"/>
    <w:next w:val="Normal"/>
    <w:link w:val="Heading4Char"/>
    <w:uiPriority w:val="9"/>
    <w:semiHidden/>
    <w:unhideWhenUsed/>
    <w:qFormat/>
    <w:rsid w:val="00D609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09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09D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09D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09D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09D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161"/>
    <w:rPr>
      <w:rFonts w:ascii="Times New Roman" w:hAnsi="Times New Roman" w:cs="Times New Roman"/>
      <w:b/>
      <w:bCs/>
      <w:u w:val="single"/>
    </w:rPr>
  </w:style>
  <w:style w:type="character" w:customStyle="1" w:styleId="Heading2Char">
    <w:name w:val="Heading 2 Char"/>
    <w:basedOn w:val="DefaultParagraphFont"/>
    <w:link w:val="Heading2"/>
    <w:uiPriority w:val="9"/>
    <w:rsid w:val="00074E3F"/>
    <w:rPr>
      <w:rFonts w:ascii="Book Antiqua" w:hAnsi="Book Antiqua" w:cs="Times New Roman"/>
      <w:b/>
      <w:bCs/>
      <w:i/>
      <w:iCs/>
      <w:sz w:val="22"/>
      <w:szCs w:val="22"/>
      <w:u w:val="single"/>
    </w:rPr>
  </w:style>
  <w:style w:type="character" w:customStyle="1" w:styleId="Heading3Char">
    <w:name w:val="Heading 3 Char"/>
    <w:basedOn w:val="DefaultParagraphFont"/>
    <w:link w:val="Heading3"/>
    <w:uiPriority w:val="9"/>
    <w:rsid w:val="00074E3F"/>
    <w:rPr>
      <w:rFonts w:ascii="Book Antiqua" w:hAnsi="Book Antiqua" w:cs="Times New Roman"/>
      <w:sz w:val="22"/>
      <w:szCs w:val="22"/>
      <w:u w:val="single"/>
    </w:rPr>
  </w:style>
  <w:style w:type="character" w:customStyle="1" w:styleId="Heading4Char">
    <w:name w:val="Heading 4 Char"/>
    <w:basedOn w:val="DefaultParagraphFont"/>
    <w:link w:val="Heading4"/>
    <w:uiPriority w:val="9"/>
    <w:semiHidden/>
    <w:rsid w:val="00D609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09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09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09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09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09DD"/>
    <w:rPr>
      <w:rFonts w:eastAsiaTheme="majorEastAsia" w:cstheme="majorBidi"/>
      <w:color w:val="272727" w:themeColor="text1" w:themeTint="D8"/>
    </w:rPr>
  </w:style>
  <w:style w:type="paragraph" w:styleId="Title">
    <w:name w:val="Title"/>
    <w:basedOn w:val="Normal"/>
    <w:next w:val="Normal"/>
    <w:link w:val="TitleChar"/>
    <w:uiPriority w:val="10"/>
    <w:qFormat/>
    <w:rsid w:val="00D609D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09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09D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09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09D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609DD"/>
    <w:rPr>
      <w:i/>
      <w:iCs/>
      <w:color w:val="404040" w:themeColor="text1" w:themeTint="BF"/>
    </w:rPr>
  </w:style>
  <w:style w:type="paragraph" w:styleId="ListParagraph">
    <w:name w:val="List Paragraph"/>
    <w:basedOn w:val="Normal"/>
    <w:uiPriority w:val="34"/>
    <w:qFormat/>
    <w:rsid w:val="00D609DD"/>
    <w:pPr>
      <w:ind w:left="720"/>
      <w:contextualSpacing/>
    </w:pPr>
  </w:style>
  <w:style w:type="character" w:styleId="IntenseEmphasis">
    <w:name w:val="Intense Emphasis"/>
    <w:basedOn w:val="DefaultParagraphFont"/>
    <w:uiPriority w:val="21"/>
    <w:qFormat/>
    <w:rsid w:val="00D609DD"/>
    <w:rPr>
      <w:i/>
      <w:iCs/>
      <w:color w:val="0F4761" w:themeColor="accent1" w:themeShade="BF"/>
    </w:rPr>
  </w:style>
  <w:style w:type="paragraph" w:styleId="IntenseQuote">
    <w:name w:val="Intense Quote"/>
    <w:basedOn w:val="Normal"/>
    <w:next w:val="Normal"/>
    <w:link w:val="IntenseQuoteChar"/>
    <w:uiPriority w:val="30"/>
    <w:qFormat/>
    <w:rsid w:val="00D609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09DD"/>
    <w:rPr>
      <w:i/>
      <w:iCs/>
      <w:color w:val="0F4761" w:themeColor="accent1" w:themeShade="BF"/>
    </w:rPr>
  </w:style>
  <w:style w:type="character" w:styleId="IntenseReference">
    <w:name w:val="Intense Reference"/>
    <w:basedOn w:val="DefaultParagraphFont"/>
    <w:uiPriority w:val="32"/>
    <w:qFormat/>
    <w:rsid w:val="00D609DD"/>
    <w:rPr>
      <w:b/>
      <w:bCs/>
      <w:smallCaps/>
      <w:color w:val="0F4761" w:themeColor="accent1" w:themeShade="BF"/>
      <w:spacing w:val="5"/>
    </w:rPr>
  </w:style>
  <w:style w:type="paragraph" w:styleId="FootnoteText">
    <w:name w:val="footnote text"/>
    <w:basedOn w:val="Normal"/>
    <w:link w:val="FootnoteTextChar"/>
    <w:uiPriority w:val="99"/>
    <w:semiHidden/>
    <w:unhideWhenUsed/>
    <w:rsid w:val="0013412F"/>
  </w:style>
  <w:style w:type="character" w:customStyle="1" w:styleId="FootnoteTextChar">
    <w:name w:val="Footnote Text Char"/>
    <w:basedOn w:val="DefaultParagraphFont"/>
    <w:link w:val="FootnoteText"/>
    <w:uiPriority w:val="99"/>
    <w:semiHidden/>
    <w:rsid w:val="0013412F"/>
    <w:rPr>
      <w:sz w:val="20"/>
      <w:szCs w:val="20"/>
    </w:rPr>
  </w:style>
  <w:style w:type="character" w:styleId="FootnoteReference">
    <w:name w:val="footnote reference"/>
    <w:basedOn w:val="DefaultParagraphFont"/>
    <w:uiPriority w:val="99"/>
    <w:semiHidden/>
    <w:unhideWhenUsed/>
    <w:rsid w:val="0013412F"/>
    <w:rPr>
      <w:vertAlign w:val="superscript"/>
    </w:rPr>
  </w:style>
  <w:style w:type="paragraph" w:styleId="Footer">
    <w:name w:val="footer"/>
    <w:basedOn w:val="Normal"/>
    <w:link w:val="FooterChar"/>
    <w:uiPriority w:val="99"/>
    <w:unhideWhenUsed/>
    <w:rsid w:val="005C5D09"/>
    <w:pPr>
      <w:tabs>
        <w:tab w:val="center" w:pos="4513"/>
        <w:tab w:val="right" w:pos="9026"/>
      </w:tabs>
    </w:pPr>
  </w:style>
  <w:style w:type="character" w:customStyle="1" w:styleId="FooterChar">
    <w:name w:val="Footer Char"/>
    <w:basedOn w:val="DefaultParagraphFont"/>
    <w:link w:val="Footer"/>
    <w:uiPriority w:val="99"/>
    <w:rsid w:val="005C5D09"/>
  </w:style>
  <w:style w:type="character" w:styleId="PageNumber">
    <w:name w:val="page number"/>
    <w:basedOn w:val="DefaultParagraphFont"/>
    <w:uiPriority w:val="99"/>
    <w:semiHidden/>
    <w:unhideWhenUsed/>
    <w:rsid w:val="005C5D09"/>
  </w:style>
  <w:style w:type="paragraph" w:styleId="Header">
    <w:name w:val="header"/>
    <w:basedOn w:val="Normal"/>
    <w:link w:val="HeaderChar"/>
    <w:uiPriority w:val="99"/>
    <w:unhideWhenUsed/>
    <w:rsid w:val="005C5D09"/>
    <w:pPr>
      <w:tabs>
        <w:tab w:val="center" w:pos="4513"/>
        <w:tab w:val="right" w:pos="9026"/>
      </w:tabs>
    </w:pPr>
  </w:style>
  <w:style w:type="character" w:customStyle="1" w:styleId="HeaderChar">
    <w:name w:val="Header Char"/>
    <w:basedOn w:val="DefaultParagraphFont"/>
    <w:link w:val="Header"/>
    <w:uiPriority w:val="99"/>
    <w:rsid w:val="005C5D09"/>
  </w:style>
  <w:style w:type="character" w:styleId="Hyperlink">
    <w:name w:val="Hyperlink"/>
    <w:basedOn w:val="DefaultParagraphFont"/>
    <w:uiPriority w:val="99"/>
    <w:unhideWhenUsed/>
    <w:rsid w:val="00D326CD"/>
    <w:rPr>
      <w:color w:val="467886" w:themeColor="hyperlink"/>
      <w:u w:val="single"/>
    </w:rPr>
  </w:style>
  <w:style w:type="character" w:styleId="UnresolvedMention">
    <w:name w:val="Unresolved Mention"/>
    <w:basedOn w:val="DefaultParagraphFont"/>
    <w:uiPriority w:val="99"/>
    <w:semiHidden/>
    <w:unhideWhenUsed/>
    <w:rsid w:val="00D326CD"/>
    <w:rPr>
      <w:color w:val="605E5C"/>
      <w:shd w:val="clear" w:color="auto" w:fill="E1DFDD"/>
    </w:rPr>
  </w:style>
  <w:style w:type="character" w:styleId="CommentReference">
    <w:name w:val="annotation reference"/>
    <w:basedOn w:val="DefaultParagraphFont"/>
    <w:uiPriority w:val="99"/>
    <w:semiHidden/>
    <w:unhideWhenUsed/>
    <w:rsid w:val="00410161"/>
    <w:rPr>
      <w:sz w:val="16"/>
      <w:szCs w:val="16"/>
    </w:rPr>
  </w:style>
  <w:style w:type="paragraph" w:styleId="CommentText">
    <w:name w:val="annotation text"/>
    <w:basedOn w:val="Normal"/>
    <w:link w:val="CommentTextChar"/>
    <w:uiPriority w:val="99"/>
    <w:unhideWhenUsed/>
    <w:rsid w:val="00410161"/>
  </w:style>
  <w:style w:type="character" w:customStyle="1" w:styleId="CommentTextChar">
    <w:name w:val="Comment Text Char"/>
    <w:basedOn w:val="DefaultParagraphFont"/>
    <w:link w:val="CommentText"/>
    <w:uiPriority w:val="99"/>
    <w:rsid w:val="00410161"/>
    <w:rPr>
      <w:sz w:val="20"/>
      <w:szCs w:val="20"/>
    </w:rPr>
  </w:style>
  <w:style w:type="paragraph" w:styleId="CommentSubject">
    <w:name w:val="annotation subject"/>
    <w:basedOn w:val="CommentText"/>
    <w:next w:val="CommentText"/>
    <w:link w:val="CommentSubjectChar"/>
    <w:uiPriority w:val="99"/>
    <w:semiHidden/>
    <w:unhideWhenUsed/>
    <w:rsid w:val="00410161"/>
    <w:rPr>
      <w:b/>
      <w:bCs/>
    </w:rPr>
  </w:style>
  <w:style w:type="character" w:customStyle="1" w:styleId="CommentSubjectChar">
    <w:name w:val="Comment Subject Char"/>
    <w:basedOn w:val="CommentTextChar"/>
    <w:link w:val="CommentSubject"/>
    <w:uiPriority w:val="99"/>
    <w:semiHidden/>
    <w:rsid w:val="00410161"/>
    <w:rPr>
      <w:b/>
      <w:bCs/>
      <w:sz w:val="20"/>
      <w:szCs w:val="20"/>
    </w:rPr>
  </w:style>
  <w:style w:type="numbering" w:customStyle="1" w:styleId="CurrentList1">
    <w:name w:val="Current List1"/>
    <w:uiPriority w:val="99"/>
    <w:rsid w:val="00653934"/>
    <w:pPr>
      <w:numPr>
        <w:numId w:val="6"/>
      </w:numPr>
    </w:pPr>
  </w:style>
  <w:style w:type="paragraph" w:styleId="NormalWeb">
    <w:name w:val="Normal (Web)"/>
    <w:basedOn w:val="Normal"/>
    <w:uiPriority w:val="99"/>
    <w:semiHidden/>
    <w:unhideWhenUsed/>
    <w:rsid w:val="00A153F9"/>
    <w:rPr>
      <w:rFonts w:ascii="Times New Roman" w:hAnsi="Times New Roman"/>
    </w:rPr>
  </w:style>
  <w:style w:type="paragraph" w:styleId="Revision">
    <w:name w:val="Revision"/>
    <w:hidden/>
    <w:uiPriority w:val="99"/>
    <w:semiHidden/>
    <w:rsid w:val="004C5AEE"/>
  </w:style>
  <w:style w:type="paragraph" w:styleId="BalloonText">
    <w:name w:val="Balloon Text"/>
    <w:basedOn w:val="Normal"/>
    <w:link w:val="BalloonTextChar"/>
    <w:uiPriority w:val="99"/>
    <w:semiHidden/>
    <w:unhideWhenUsed/>
    <w:rsid w:val="008B37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7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523560">
      <w:bodyDiv w:val="1"/>
      <w:marLeft w:val="0"/>
      <w:marRight w:val="0"/>
      <w:marTop w:val="0"/>
      <w:marBottom w:val="0"/>
      <w:divBdr>
        <w:top w:val="none" w:sz="0" w:space="0" w:color="auto"/>
        <w:left w:val="none" w:sz="0" w:space="0" w:color="auto"/>
        <w:bottom w:val="none" w:sz="0" w:space="0" w:color="auto"/>
        <w:right w:val="none" w:sz="0" w:space="0" w:color="auto"/>
      </w:divBdr>
      <w:divsChild>
        <w:div w:id="16009365">
          <w:marLeft w:val="0"/>
          <w:marRight w:val="0"/>
          <w:marTop w:val="0"/>
          <w:marBottom w:val="0"/>
          <w:divBdr>
            <w:top w:val="none" w:sz="0" w:space="0" w:color="3D3D3D"/>
            <w:left w:val="none" w:sz="0" w:space="0" w:color="3D3D3D"/>
            <w:bottom w:val="none" w:sz="0" w:space="0" w:color="3D3D3D"/>
            <w:right w:val="none" w:sz="0" w:space="0" w:color="3D3D3D"/>
          </w:divBdr>
        </w:div>
      </w:divsChild>
    </w:div>
    <w:div w:id="653677820">
      <w:bodyDiv w:val="1"/>
      <w:marLeft w:val="0"/>
      <w:marRight w:val="0"/>
      <w:marTop w:val="0"/>
      <w:marBottom w:val="0"/>
      <w:divBdr>
        <w:top w:val="none" w:sz="0" w:space="0" w:color="auto"/>
        <w:left w:val="none" w:sz="0" w:space="0" w:color="auto"/>
        <w:bottom w:val="none" w:sz="0" w:space="0" w:color="auto"/>
        <w:right w:val="none" w:sz="0" w:space="0" w:color="auto"/>
      </w:divBdr>
    </w:div>
    <w:div w:id="734936510">
      <w:bodyDiv w:val="1"/>
      <w:marLeft w:val="0"/>
      <w:marRight w:val="0"/>
      <w:marTop w:val="0"/>
      <w:marBottom w:val="0"/>
      <w:divBdr>
        <w:top w:val="none" w:sz="0" w:space="0" w:color="auto"/>
        <w:left w:val="none" w:sz="0" w:space="0" w:color="auto"/>
        <w:bottom w:val="none" w:sz="0" w:space="0" w:color="auto"/>
        <w:right w:val="none" w:sz="0" w:space="0" w:color="auto"/>
      </w:divBdr>
      <w:divsChild>
        <w:div w:id="797452886">
          <w:marLeft w:val="0"/>
          <w:marRight w:val="0"/>
          <w:marTop w:val="0"/>
          <w:marBottom w:val="0"/>
          <w:divBdr>
            <w:top w:val="none" w:sz="0" w:space="0" w:color="auto"/>
            <w:left w:val="none" w:sz="0" w:space="0" w:color="auto"/>
            <w:bottom w:val="none" w:sz="0" w:space="0" w:color="auto"/>
            <w:right w:val="none" w:sz="0" w:space="0" w:color="auto"/>
          </w:divBdr>
          <w:divsChild>
            <w:div w:id="1108239271">
              <w:marLeft w:val="0"/>
              <w:marRight w:val="0"/>
              <w:marTop w:val="0"/>
              <w:marBottom w:val="0"/>
              <w:divBdr>
                <w:top w:val="none" w:sz="0" w:space="0" w:color="auto"/>
                <w:left w:val="none" w:sz="0" w:space="0" w:color="auto"/>
                <w:bottom w:val="none" w:sz="0" w:space="0" w:color="auto"/>
                <w:right w:val="none" w:sz="0" w:space="0" w:color="auto"/>
              </w:divBdr>
              <w:divsChild>
                <w:div w:id="12374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139380">
      <w:bodyDiv w:val="1"/>
      <w:marLeft w:val="0"/>
      <w:marRight w:val="0"/>
      <w:marTop w:val="0"/>
      <w:marBottom w:val="0"/>
      <w:divBdr>
        <w:top w:val="none" w:sz="0" w:space="0" w:color="auto"/>
        <w:left w:val="none" w:sz="0" w:space="0" w:color="auto"/>
        <w:bottom w:val="none" w:sz="0" w:space="0" w:color="auto"/>
        <w:right w:val="none" w:sz="0" w:space="0" w:color="auto"/>
      </w:divBdr>
    </w:div>
    <w:div w:id="1348563327">
      <w:bodyDiv w:val="1"/>
      <w:marLeft w:val="0"/>
      <w:marRight w:val="0"/>
      <w:marTop w:val="0"/>
      <w:marBottom w:val="0"/>
      <w:divBdr>
        <w:top w:val="none" w:sz="0" w:space="0" w:color="auto"/>
        <w:left w:val="none" w:sz="0" w:space="0" w:color="auto"/>
        <w:bottom w:val="none" w:sz="0" w:space="0" w:color="auto"/>
        <w:right w:val="none" w:sz="0" w:space="0" w:color="auto"/>
      </w:divBdr>
      <w:divsChild>
        <w:div w:id="1679959421">
          <w:marLeft w:val="0"/>
          <w:marRight w:val="0"/>
          <w:marTop w:val="0"/>
          <w:marBottom w:val="0"/>
          <w:divBdr>
            <w:top w:val="none" w:sz="0" w:space="0" w:color="3D3D3D"/>
            <w:left w:val="none" w:sz="0" w:space="0" w:color="3D3D3D"/>
            <w:bottom w:val="none" w:sz="0" w:space="0" w:color="3D3D3D"/>
            <w:right w:val="none" w:sz="0" w:space="0" w:color="3D3D3D"/>
          </w:divBdr>
        </w:div>
      </w:divsChild>
    </w:div>
    <w:div w:id="1504783765">
      <w:bodyDiv w:val="1"/>
      <w:marLeft w:val="0"/>
      <w:marRight w:val="0"/>
      <w:marTop w:val="0"/>
      <w:marBottom w:val="0"/>
      <w:divBdr>
        <w:top w:val="none" w:sz="0" w:space="0" w:color="auto"/>
        <w:left w:val="none" w:sz="0" w:space="0" w:color="auto"/>
        <w:bottom w:val="none" w:sz="0" w:space="0" w:color="auto"/>
        <w:right w:val="none" w:sz="0" w:space="0" w:color="auto"/>
      </w:divBdr>
    </w:div>
    <w:div w:id="1528983986">
      <w:bodyDiv w:val="1"/>
      <w:marLeft w:val="0"/>
      <w:marRight w:val="0"/>
      <w:marTop w:val="0"/>
      <w:marBottom w:val="0"/>
      <w:divBdr>
        <w:top w:val="none" w:sz="0" w:space="0" w:color="auto"/>
        <w:left w:val="none" w:sz="0" w:space="0" w:color="auto"/>
        <w:bottom w:val="none" w:sz="0" w:space="0" w:color="auto"/>
        <w:right w:val="none" w:sz="0" w:space="0" w:color="auto"/>
      </w:divBdr>
    </w:div>
    <w:div w:id="163329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726D-820D-4988-BEC7-299BF0F87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7651</Words>
  <Characters>43612</Characters>
  <Application>Microsoft Office Word</Application>
  <DocSecurity>2</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Gannon</dc:creator>
  <cp:keywords/>
  <dc:description/>
  <cp:lastModifiedBy>Cassie Gibbons</cp:lastModifiedBy>
  <cp:revision>4</cp:revision>
  <cp:lastPrinted>2024-11-06T14:12:00Z</cp:lastPrinted>
  <dcterms:created xsi:type="dcterms:W3CDTF">2024-11-06T14:12:00Z</dcterms:created>
  <dcterms:modified xsi:type="dcterms:W3CDTF">2024-11-21T13:46:00Z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b84d57-376d-49da-a544-9c3e106edda4_Enabled">
    <vt:lpwstr>true</vt:lpwstr>
  </property>
  <property fmtid="{D5CDD505-2E9C-101B-9397-08002B2CF9AE}" pid="3" name="MSIP_Label_5eb84d57-376d-49da-a544-9c3e106edda4_SetDate">
    <vt:lpwstr>2024-10-18T08:45:31Z</vt:lpwstr>
  </property>
  <property fmtid="{D5CDD505-2E9C-101B-9397-08002B2CF9AE}" pid="4" name="MSIP_Label_5eb84d57-376d-49da-a544-9c3e106edda4_Method">
    <vt:lpwstr>Standard</vt:lpwstr>
  </property>
  <property fmtid="{D5CDD505-2E9C-101B-9397-08002B2CF9AE}" pid="5" name="MSIP_Label_5eb84d57-376d-49da-a544-9c3e106edda4_Name">
    <vt:lpwstr>OFFICIAL</vt:lpwstr>
  </property>
  <property fmtid="{D5CDD505-2E9C-101B-9397-08002B2CF9AE}" pid="6" name="MSIP_Label_5eb84d57-376d-49da-a544-9c3e106edda4_SiteId">
    <vt:lpwstr>ebb9aa53-402f-40f0-b5d9-0b6096506fbd</vt:lpwstr>
  </property>
  <property fmtid="{D5CDD505-2E9C-101B-9397-08002B2CF9AE}" pid="7" name="MSIP_Label_5eb84d57-376d-49da-a544-9c3e106edda4_ActionId">
    <vt:lpwstr>4fea13df-41dd-4931-96eb-b96cd4d8cefc</vt:lpwstr>
  </property>
  <property fmtid="{D5CDD505-2E9C-101B-9397-08002B2CF9AE}" pid="8" name="MSIP_Label_5eb84d57-376d-49da-a544-9c3e106edda4_ContentBits">
    <vt:lpwstr>0</vt:lpwstr>
  </property>
</Properties>
</file>